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F0A9" w14:textId="77777777" w:rsidR="007C5EEC" w:rsidRDefault="007C5EEC" w:rsidP="004D4A00">
      <w:pPr>
        <w:pStyle w:val="NormalWeb"/>
        <w:shd w:val="clear" w:color="auto" w:fill="FFFFFF"/>
        <w:spacing w:before="120" w:beforeAutospacing="0" w:after="0" w:afterAutospacing="0" w:line="234" w:lineRule="atLeast"/>
        <w:jc w:val="center"/>
        <w:rPr>
          <w:b/>
          <w:bCs/>
          <w:color w:val="000000"/>
          <w:sz w:val="28"/>
          <w:szCs w:val="28"/>
        </w:rPr>
      </w:pPr>
      <w:bookmarkStart w:id="0" w:name="chuong_2_name"/>
      <w:bookmarkStart w:id="1" w:name="chuong_6_name"/>
      <w:r>
        <w:rPr>
          <w:b/>
          <w:bCs/>
          <w:color w:val="000000"/>
          <w:sz w:val="28"/>
          <w:szCs w:val="28"/>
        </w:rPr>
        <w:t xml:space="preserve">PHỤ LỤC </w:t>
      </w:r>
    </w:p>
    <w:p w14:paraId="7FE64900" w14:textId="77777777" w:rsidR="007C5EEC" w:rsidRDefault="007C5EEC" w:rsidP="007C5EEC">
      <w:pPr>
        <w:pStyle w:val="NormalWeb"/>
        <w:shd w:val="clear" w:color="auto" w:fill="FFFFFF"/>
        <w:spacing w:before="120" w:beforeAutospacing="0" w:after="240" w:afterAutospacing="0" w:line="234" w:lineRule="atLeast"/>
        <w:jc w:val="center"/>
        <w:rPr>
          <w:b/>
          <w:bCs/>
          <w:color w:val="000000"/>
          <w:sz w:val="28"/>
          <w:szCs w:val="28"/>
        </w:rPr>
      </w:pPr>
      <w:r>
        <w:rPr>
          <w:b/>
          <w:bCs/>
          <w:color w:val="000000"/>
          <w:sz w:val="28"/>
          <w:szCs w:val="28"/>
        </w:rPr>
        <w:t>Quy định về nội dung công khai trên các nền tảng thương mại điện tử và dịch vụ chứng thực hợp đồng điện tử trong thương mại</w:t>
      </w:r>
    </w:p>
    <w:p w14:paraId="408B7B63" w14:textId="77777777" w:rsidR="007C5EEC" w:rsidRPr="007C5EEC" w:rsidRDefault="007C5EEC" w:rsidP="007C5EEC">
      <w:pPr>
        <w:pStyle w:val="NormalWeb"/>
        <w:shd w:val="clear" w:color="auto" w:fill="FFFFFF"/>
        <w:spacing w:before="120" w:beforeAutospacing="0" w:after="240" w:afterAutospacing="0" w:line="234" w:lineRule="atLeast"/>
        <w:jc w:val="center"/>
        <w:rPr>
          <w:bCs/>
          <w:i/>
          <w:color w:val="000000"/>
        </w:rPr>
      </w:pPr>
      <w:r w:rsidRPr="007C5EEC">
        <w:rPr>
          <w:bCs/>
          <w:i/>
          <w:color w:val="000000"/>
        </w:rPr>
        <w:t>(Kèm theo Công văn số  …. /SCT-QLTM ngày …</w:t>
      </w:r>
      <w:r>
        <w:rPr>
          <w:bCs/>
          <w:i/>
          <w:color w:val="000000"/>
        </w:rPr>
        <w:t>/…/</w:t>
      </w:r>
      <w:r w:rsidRPr="007C5EEC">
        <w:rPr>
          <w:bCs/>
          <w:i/>
          <w:color w:val="000000"/>
        </w:rPr>
        <w:t>2026 của Sở Công Thương tỉnh Lạng Sơn</w:t>
      </w:r>
    </w:p>
    <w:p w14:paraId="42095E81" w14:textId="77777777" w:rsidR="00506031" w:rsidRPr="00506031" w:rsidRDefault="00506031" w:rsidP="0053437E">
      <w:pPr>
        <w:pStyle w:val="NormalWeb"/>
        <w:shd w:val="clear" w:color="auto" w:fill="FFFFFF"/>
        <w:spacing w:before="120" w:beforeAutospacing="0" w:after="120" w:afterAutospacing="0" w:line="234" w:lineRule="atLeast"/>
        <w:jc w:val="center"/>
        <w:rPr>
          <w:color w:val="000000"/>
          <w:sz w:val="28"/>
          <w:szCs w:val="28"/>
        </w:rPr>
      </w:pPr>
      <w:r>
        <w:rPr>
          <w:b/>
          <w:bCs/>
          <w:color w:val="000000"/>
          <w:sz w:val="28"/>
          <w:szCs w:val="28"/>
        </w:rPr>
        <w:t xml:space="preserve">I. </w:t>
      </w:r>
      <w:r w:rsidRPr="00506031">
        <w:rPr>
          <w:b/>
          <w:bCs/>
          <w:color w:val="000000"/>
          <w:sz w:val="28"/>
          <w:szCs w:val="28"/>
        </w:rPr>
        <w:t>NỘI DUNG CÔNG KHAI TRÊN NỀN TẢNG THƯƠNG MẠI ĐIỆN TỬ</w:t>
      </w:r>
      <w:bookmarkEnd w:id="0"/>
    </w:p>
    <w:p w14:paraId="7C7B570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bookmarkStart w:id="2" w:name="dieu_4"/>
      <w:r>
        <w:rPr>
          <w:b/>
          <w:bCs/>
          <w:color w:val="000000"/>
          <w:sz w:val="28"/>
          <w:szCs w:val="28"/>
        </w:rPr>
        <w:t>1</w:t>
      </w:r>
      <w:r w:rsidRPr="00506031">
        <w:rPr>
          <w:b/>
          <w:bCs/>
          <w:color w:val="000000"/>
          <w:sz w:val="28"/>
          <w:szCs w:val="28"/>
        </w:rPr>
        <w:t>. Thông tin về chủ quản nền tảng thương mại điện tử</w:t>
      </w:r>
      <w:bookmarkEnd w:id="2"/>
      <w:r>
        <w:rPr>
          <w:b/>
          <w:bCs/>
          <w:color w:val="000000"/>
          <w:sz w:val="28"/>
          <w:szCs w:val="28"/>
        </w:rPr>
        <w:t xml:space="preserve"> (</w:t>
      </w:r>
      <w:r w:rsidRPr="00506031">
        <w:rPr>
          <w:b/>
          <w:bCs/>
          <w:color w:val="000000"/>
          <w:sz w:val="28"/>
          <w:szCs w:val="28"/>
        </w:rPr>
        <w:t>Điều 4</w:t>
      </w:r>
      <w:r>
        <w:rPr>
          <w:b/>
          <w:bCs/>
          <w:color w:val="000000"/>
          <w:sz w:val="28"/>
          <w:szCs w:val="28"/>
        </w:rPr>
        <w:t xml:space="preserve"> Nghị định 248/2026/NĐ-CP)</w:t>
      </w:r>
    </w:p>
    <w:p w14:paraId="22C66B0E"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Thông tin về chủ quản nền tảng thương mại điện tử bao gồm ít nhất các nội dung sau đây:</w:t>
      </w:r>
    </w:p>
    <w:p w14:paraId="3105C4E4"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Tên, địa chỉ trụ sở chính của tổ chức, tên người đại diện theo pháp luật hoặc tên, địa chỉ cư trú của cá nhân;</w:t>
      </w:r>
    </w:p>
    <w:p w14:paraId="455F194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Số, ngày cấp và nơi cấp Giấy chứng nhận đăng ký doanh nghiệp hoặc số, ngày cấp, nơi cấp và đơn vị cấp Quyết định thành lập đối với tổ chức, mã số thuế của cá nhân hoặc mã số thuế của hộ kinh doanh.</w:t>
      </w:r>
    </w:p>
    <w:p w14:paraId="6C595FFA"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3" w:name="dieu_5"/>
      <w:r>
        <w:rPr>
          <w:b/>
          <w:bCs/>
          <w:color w:val="000000"/>
          <w:sz w:val="28"/>
          <w:szCs w:val="28"/>
        </w:rPr>
        <w:t>2</w:t>
      </w:r>
      <w:r w:rsidR="00506031" w:rsidRPr="00506031">
        <w:rPr>
          <w:b/>
          <w:bCs/>
          <w:color w:val="000000"/>
          <w:sz w:val="28"/>
          <w:szCs w:val="28"/>
        </w:rPr>
        <w:t>. Chính sách bảo mật</w:t>
      </w:r>
      <w:bookmarkEnd w:id="3"/>
      <w:r>
        <w:rPr>
          <w:b/>
          <w:bCs/>
          <w:color w:val="000000"/>
          <w:sz w:val="28"/>
          <w:szCs w:val="28"/>
        </w:rPr>
        <w:t xml:space="preserve"> (Điều 5 Nghị định 248/2026/NĐ-CP)</w:t>
      </w:r>
    </w:p>
    <w:p w14:paraId="3BC3F9F3"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Chính sách bảo mật bao gồm ít nhất các nội dung sau đây:</w:t>
      </w:r>
    </w:p>
    <w:p w14:paraId="6858AA21"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a) Mục đích, phạm vi thu thập thông tin của người sử dụng;</w:t>
      </w:r>
    </w:p>
    <w:p w14:paraId="2C839F70"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b) Phạm vi sử dụng thông tin;</w:t>
      </w:r>
    </w:p>
    <w:p w14:paraId="5088514C"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 Thời gian lưu trữ thông tin hoặc phương pháp xác định thời gian lưu trữ thông tin;</w:t>
      </w:r>
    </w:p>
    <w:p w14:paraId="18A3A0A3"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d) Tổ chức, cá nhân có thể được tiếp cận thông tin cá nhân;</w:t>
      </w:r>
    </w:p>
    <w:p w14:paraId="58564064"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đ) Biện pháp bảo mật thông tin, dữ liệu của người sử dụng;</w:t>
      </w:r>
    </w:p>
    <w:p w14:paraId="7FF1187D"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e) Phương thức, quy trình để chủ thể dữ liệu xem, chỉnh sửa hoặc yêu cầu chỉnh sửa dữ liệu của mình trên nền tảng;</w:t>
      </w:r>
    </w:p>
    <w:p w14:paraId="5F455D4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g) Phương thức, quy trình tiếp nhận yêu cầu của chủ thể dữ liệu trong việc xóa, hủy hoặc hạn chế xử lý dữ liệu của mình đã cung cấp;</w:t>
      </w:r>
    </w:p>
    <w:p w14:paraId="03188653"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h) Phương thức, quy trình tiếp nhận và giải quyết các khiếu nại, yêu cầu, phản ánh của chủ thể dữ liệu liên quan đến việc bảo mật thông tin.</w:t>
      </w:r>
    </w:p>
    <w:p w14:paraId="5EE5D89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Nội dung quy định tại khoản 1 Điều này phải tuân thủ quy định của pháp luật về dữ liệu và bảo vệ dữ liệu cá nhân.</w:t>
      </w:r>
    </w:p>
    <w:p w14:paraId="32B33323"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4" w:name="dieu_6"/>
      <w:r>
        <w:rPr>
          <w:b/>
          <w:bCs/>
          <w:color w:val="000000"/>
          <w:sz w:val="28"/>
          <w:szCs w:val="28"/>
        </w:rPr>
        <w:t>3</w:t>
      </w:r>
      <w:r w:rsidR="00506031" w:rsidRPr="00506031">
        <w:rPr>
          <w:b/>
          <w:bCs/>
          <w:color w:val="000000"/>
          <w:sz w:val="28"/>
          <w:szCs w:val="28"/>
        </w:rPr>
        <w:t>. Quyền và nghĩa vụ của các bên</w:t>
      </w:r>
      <w:bookmarkEnd w:id="4"/>
      <w:r>
        <w:rPr>
          <w:b/>
          <w:bCs/>
          <w:color w:val="000000"/>
          <w:sz w:val="28"/>
          <w:szCs w:val="28"/>
        </w:rPr>
        <w:t xml:space="preserve"> (Điều 6 Nghị định 248/2026/NĐ-CP)</w:t>
      </w:r>
    </w:p>
    <w:p w14:paraId="1FBD901F"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Chủ quản nền tảng thương mại điện tử công khai quyền và nghĩa vụ của các bên, bảo đảm tuân thủ </w:t>
      </w:r>
      <w:bookmarkStart w:id="5" w:name="tvpllink_mptezcztrv_4"/>
      <w:r w:rsidRPr="00506031">
        <w:rPr>
          <w:color w:val="000000"/>
          <w:sz w:val="28"/>
          <w:szCs w:val="28"/>
        </w:rPr>
        <w:fldChar w:fldCharType="begin"/>
      </w:r>
      <w:r w:rsidRPr="00506031">
        <w:rPr>
          <w:color w:val="000000"/>
          <w:sz w:val="28"/>
          <w:szCs w:val="28"/>
        </w:rPr>
        <w:instrText xml:space="preserve"> HYPERLINK "https://thuvienphapluat.vn/van-ban/Thuong-mai/Luat-Thuong-mai-dien-tu-2025-so-122-2025-QH15-662035.aspx" \t "_blank" </w:instrText>
      </w:r>
      <w:r w:rsidRPr="00506031">
        <w:rPr>
          <w:color w:val="000000"/>
          <w:sz w:val="28"/>
          <w:szCs w:val="28"/>
        </w:rPr>
      </w:r>
      <w:r w:rsidRPr="00506031">
        <w:rPr>
          <w:color w:val="000000"/>
          <w:sz w:val="28"/>
          <w:szCs w:val="28"/>
        </w:rPr>
        <w:fldChar w:fldCharType="separate"/>
      </w:r>
      <w:r w:rsidRPr="00506031">
        <w:rPr>
          <w:rStyle w:val="Hyperlink"/>
          <w:color w:val="0E70C3"/>
          <w:sz w:val="28"/>
          <w:szCs w:val="28"/>
        </w:rPr>
        <w:t>Luật Thương mại điện tử</w:t>
      </w:r>
      <w:r w:rsidRPr="00506031">
        <w:rPr>
          <w:color w:val="000000"/>
          <w:sz w:val="28"/>
          <w:szCs w:val="28"/>
        </w:rPr>
        <w:fldChar w:fldCharType="end"/>
      </w:r>
      <w:bookmarkEnd w:id="5"/>
      <w:r w:rsidRPr="00506031">
        <w:rPr>
          <w:color w:val="000000"/>
          <w:sz w:val="28"/>
          <w:szCs w:val="28"/>
        </w:rPr>
        <w:t>, Nghị định này và pháp luật có liên quan, bao gồm ít nhất các nội dung sau đây:</w:t>
      </w:r>
    </w:p>
    <w:p w14:paraId="464EB6E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Quyền và nghĩa vụ của chủ quản nền tảng thương mại điện tử</w:t>
      </w:r>
    </w:p>
    <w:p w14:paraId="54CB73E3"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lastRenderedPageBreak/>
        <w:t>a) Ban hành, công khai và tổ chức thực hiện điều kiện hoạt động, điều kiện giao dịch;</w:t>
      </w:r>
    </w:p>
    <w:p w14:paraId="1C29BF9B"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b) Xây dựng, công khai tiêu chuẩn dịch vụ, quy trình tham gia hoạt động trên nền tảng;</w:t>
      </w:r>
    </w:p>
    <w:p w14:paraId="08A8659E"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 Thu phí dịch vụ theo chính sách về giá đã công khai;</w:t>
      </w:r>
    </w:p>
    <w:p w14:paraId="3F4F1CBD"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d) Thông tin đầy đủ hoặc tóm tắt về hình thức khuyến mại được áp dụng cung cấp cho người mua trước khi đặt hàng;</w:t>
      </w:r>
    </w:p>
    <w:p w14:paraId="590E5D4B"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đ) Bảo đảm vận hành an toàn, ổn định nền tảng;</w:t>
      </w:r>
    </w:p>
    <w:p w14:paraId="171DEFE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e) Quy định các trường hợp tạm ngừng, chấm dứt, hạn chế tài khoản người bán, người mua;</w:t>
      </w:r>
    </w:p>
    <w:p w14:paraId="72890260"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g) Áp dụng các biện pháp cần thiết để bảo đảm an toàn thông tin liên quan đến bí mật kinh doanh của người sử dụng và thông tin cá nhân của người tiêu dùng;</w:t>
      </w:r>
    </w:p>
    <w:p w14:paraId="0D2D031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h) Tiếp nhận, giải quyết yêu cầu, phản ánh, khiếu nại từ người sử dụng;</w:t>
      </w:r>
    </w:p>
    <w:p w14:paraId="12DBE6D1"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i) Giám sát, ngăn chặn hành vi vi phạm pháp luật; phối hợp và cung cấp thông tin, dữ liệu theo yêu cầu của cơ quan nhà nước có thẩm quyền.</w:t>
      </w:r>
    </w:p>
    <w:p w14:paraId="19329D8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Quyền và nghĩa vụ của người bán</w:t>
      </w:r>
    </w:p>
    <w:p w14:paraId="45D1B6A1"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a) Được đăng ký, duy trì, tạm ngừng, chấm dứt hoạt động bán hàng hóa, cung ứng dịch vụ; quyết định hàng hóa, dịch vụ, giá bán và chính sách khuyến mại theo quy định của pháp luật và thỏa thuận với chủ quản nền tảng;</w:t>
      </w:r>
    </w:p>
    <w:p w14:paraId="19582AFD"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b) Được sử dụng hạ tầng kỹ thuật, công cụ hỗ trợ của nền tảng; được tiếp cận dữ liệu liên quan trực tiếp đến hoạt động kinh doanh; được bảo đảm thanh toán đầy đủ, đúng hạn và được giải quyết yêu cầu, phản ánh, khiếu nại theo nguyên tắc công khai, minh bạch;</w:t>
      </w:r>
    </w:p>
    <w:p w14:paraId="6675DFFC"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 Cung cấp thông tin chính xác, đầy đủ; bảo đảm chất lượng hàng hóa, dịch vụ; thực hiện đầy đủ nghĩa vụ giao hàng, bảo hành, đổi trả, hoàn tiền; không lợi dụng nền tảng để kinh doanh ngành, nghề cấm đầu tư kinh doanh, hàng giả, hàng xâm phạm quyền sở hữu trí tuệ và các hành vi vi phạm pháp luật khác;</w:t>
      </w:r>
    </w:p>
    <w:p w14:paraId="531EA99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d) Thực hiện nghĩa vụ tài chính với Nhà nước; bảo vệ dữ liệu của người mua; bảo vệ thông tin của người tiêu dùng; phối hợp với chủ quản nền tảng và cơ quan nhà nước có thẩm quyền trong việc xử lý vi phạm pháp luật.</w:t>
      </w:r>
    </w:p>
    <w:p w14:paraId="5A5D57B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3. Quyền và nghĩa vụ của người mua</w:t>
      </w:r>
    </w:p>
    <w:p w14:paraId="49FB722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a) Được bảo đảm quyền lợi của người tiêu dùng; được cung cấp thông tin đầy đủ, chính xác về hàng hóa, dịch vụ và người bán;</w:t>
      </w:r>
    </w:p>
    <w:p w14:paraId="4E573E79"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b) Được lựa chọn hàng hóa, dịch vụ, phương thức thanh toán và giao hàng; được bảo vệ dữ liệu cá nhân; được giải quyết phản ánh, yêu cầu, khiếu nại theo quy định;</w:t>
      </w:r>
    </w:p>
    <w:p w14:paraId="04048EE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 Cung cấp thông tin cần thiết, chính xác; thanh toán đầy đủ, đúng hạn;</w:t>
      </w:r>
    </w:p>
    <w:p w14:paraId="3DEB4A2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lastRenderedPageBreak/>
        <w:t>d) Tuân thủ quy định pháp luật, điều kiện hoạt động và điều kiện giao dịch của nền tảng; không lợi dụng nền tảng để thực hiện hành vi vi phạm pháp luật.</w:t>
      </w:r>
    </w:p>
    <w:p w14:paraId="068874EA"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6" w:name="dieu_7"/>
      <w:r>
        <w:rPr>
          <w:b/>
          <w:bCs/>
          <w:color w:val="000000"/>
          <w:sz w:val="28"/>
          <w:szCs w:val="28"/>
        </w:rPr>
        <w:t>4</w:t>
      </w:r>
      <w:r w:rsidR="00506031" w:rsidRPr="00506031">
        <w:rPr>
          <w:b/>
          <w:bCs/>
          <w:color w:val="000000"/>
          <w:sz w:val="28"/>
          <w:szCs w:val="28"/>
        </w:rPr>
        <w:t>. Phương thức tiếp nhận và giải quyết phản ánh, yêu cầu, khiếu nại</w:t>
      </w:r>
      <w:bookmarkEnd w:id="6"/>
      <w:r>
        <w:rPr>
          <w:b/>
          <w:bCs/>
          <w:color w:val="000000"/>
          <w:sz w:val="28"/>
          <w:szCs w:val="28"/>
        </w:rPr>
        <w:t xml:space="preserve"> (Điều 7 Nghị định 248/2026/NĐ-CP)</w:t>
      </w:r>
    </w:p>
    <w:p w14:paraId="3BF9F812"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Phương thức tiếp nhận và xử lý phản ánh, yêu cầu, khiếu nại bao gồm ít nhất các nội dung sau đây:</w:t>
      </w:r>
    </w:p>
    <w:p w14:paraId="7FAE93D1"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Các phương thức tiếp nhận phản ánh, yêu cầu, khiếu nại, bao gồm ít nhất một phương thức liên hệ trực tuyến;</w:t>
      </w:r>
    </w:p>
    <w:p w14:paraId="6769AB7D"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Trình tự, thủ tục tiếp nhận và xử lý phản ánh, yêu cầu, khiếu nại, bao gồm các bước cụ thể mà các bên cần thực hiện;</w:t>
      </w:r>
    </w:p>
    <w:p w14:paraId="5BE4D04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3. Thời hạn cụ thể phản hồi ban đầu và thời hạn dự kiến giải quyết cho từng loại vấn đề phổ biến;</w:t>
      </w:r>
    </w:p>
    <w:p w14:paraId="7416DC8D"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4. Các biện pháp, công cụ mà nền tảng áp dụng để hỗ trợ giải quyết phản ánh, yêu cầu, khiếu nại.</w:t>
      </w:r>
    </w:p>
    <w:p w14:paraId="2C18063C"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7" w:name="dieu_8"/>
      <w:r>
        <w:rPr>
          <w:b/>
          <w:bCs/>
          <w:color w:val="000000"/>
          <w:sz w:val="28"/>
          <w:szCs w:val="28"/>
        </w:rPr>
        <w:t>5</w:t>
      </w:r>
      <w:r w:rsidR="00506031" w:rsidRPr="00506031">
        <w:rPr>
          <w:b/>
          <w:bCs/>
          <w:color w:val="000000"/>
          <w:sz w:val="28"/>
          <w:szCs w:val="28"/>
        </w:rPr>
        <w:t>. Chính sách về giá</w:t>
      </w:r>
      <w:bookmarkEnd w:id="7"/>
      <w:r>
        <w:rPr>
          <w:b/>
          <w:bCs/>
          <w:color w:val="000000"/>
          <w:sz w:val="28"/>
          <w:szCs w:val="28"/>
        </w:rPr>
        <w:t xml:space="preserve"> (Điều 8 Nghị định 248/2026/NĐ-CP)</w:t>
      </w:r>
    </w:p>
    <w:p w14:paraId="30B3ECC3"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Chính sách về giá trên nền tảng thương mại điện tử có chức năng đặt hàng trực tuyến bao gồm ít nhất các nội dung sau đây:</w:t>
      </w:r>
    </w:p>
    <w:p w14:paraId="018EBAD4"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Đối với giá của hàng hóa, dịch vụ được cung cấp trên nền tảng: phải thể hiện rõ giá đó đã bao gồm hay chưa bao gồm những chi phí liên quan đến việc mua hàng hóa hoặc dịch vụ như thuế, giá vận chuyển và các chi phí phát sinh khác;</w:t>
      </w:r>
    </w:p>
    <w:p w14:paraId="5BA1FD27"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Đối với chi phí sử dụng dịch vụ dành cho người bán: trường hợp nền tảng thương mại điện tử có tính giá dịch vụ mở, duy trì tài khoản, xử lý đơn hàng và các loại dịch vụ khác, chính sách phải bao gồm thông tin chi tiết về biểu giá, cách thức tính từng loại giá dịch vụ và thời điểm áp dụng. Trường hợp có sự thay đổi thì công khai trên nền tảng ít nhất 20 ngày trước thời điểm áp dụng.</w:t>
      </w:r>
    </w:p>
    <w:p w14:paraId="7079AC77"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8" w:name="dieu_9"/>
      <w:r>
        <w:rPr>
          <w:b/>
          <w:bCs/>
          <w:color w:val="000000"/>
          <w:sz w:val="28"/>
          <w:szCs w:val="28"/>
        </w:rPr>
        <w:t>6</w:t>
      </w:r>
      <w:r w:rsidR="00506031" w:rsidRPr="00506031">
        <w:rPr>
          <w:b/>
          <w:bCs/>
          <w:color w:val="000000"/>
          <w:sz w:val="28"/>
          <w:szCs w:val="28"/>
        </w:rPr>
        <w:t>. Các điều kiện hoặc hạn chế trong việc cung cấp hàng hóa hoặc dịch vụ</w:t>
      </w:r>
      <w:bookmarkEnd w:id="8"/>
      <w:r>
        <w:rPr>
          <w:b/>
          <w:bCs/>
          <w:color w:val="000000"/>
          <w:sz w:val="28"/>
          <w:szCs w:val="28"/>
        </w:rPr>
        <w:t xml:space="preserve"> (Điều 9 Nghị định 248/2026/NĐ-CP)</w:t>
      </w:r>
    </w:p>
    <w:p w14:paraId="06DA3ABC"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Trường hợp nền tảng thương mại điện tử có chức năng đặt hàng trực tuyến có các điều kiện, giới hạn trong việc cung cấp hàng hóa hoặc dịch vụ áp dụng cho người bán, người mua trên nền tảng của mình, chủ quản nền tảng phải công khai tất cả điều kiện và hạn chế đó.</w:t>
      </w:r>
    </w:p>
    <w:p w14:paraId="7D0BE82E"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Các điều kiện và hạn chế (nếu có) phải bao gồm ít nhất các nội dung sau đây:</w:t>
      </w:r>
    </w:p>
    <w:p w14:paraId="4CD71B2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a) Giới hạn về thời gian cung cấp: các khung giờ, ngày trong tuần hoặc khoảng thời gian cụ thể trong năm mà hàng hóa, dịch vụ được cung cấp hoặc bị hạn chế;</w:t>
      </w:r>
    </w:p>
    <w:p w14:paraId="73399D7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b) Giới hạn về phạm vi địa lý: các khu vực, vùng lãnh thổ, địa phương cụ thể nơi hàng hóa, dịch vụ được giao nhận hoặc bị hạn chế cung cấp;</w:t>
      </w:r>
    </w:p>
    <w:p w14:paraId="045B4A42"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 Các hạn chế về đối tượng khách hàng: các điều kiện về độ tuổi, khu vực sinh sống cụ thể để được tiếp cận hàng hóa, dịch vụ;</w:t>
      </w:r>
    </w:p>
    <w:p w14:paraId="3D3C800C"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lastRenderedPageBreak/>
        <w:t>d) Các giới hạn về số lượng: số lượng hàng hóa tối đa, tối thiểu cho mỗi giao dịch hoặc cho mỗi khách hàng;</w:t>
      </w:r>
    </w:p>
    <w:p w14:paraId="55091D6E"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đ) Các điều kiện về tính khả dụng của dịch vụ: các trường hợp hàng hóa, dịch vụ có thể ngừng cung cấp hoặc bị gián đoạn vì lý do kỹ thuật, bảo trì hoặc các sự kiện bất khả kháng.</w:t>
      </w:r>
    </w:p>
    <w:p w14:paraId="59BAF354"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9" w:name="dieu_10"/>
      <w:r>
        <w:rPr>
          <w:b/>
          <w:bCs/>
          <w:color w:val="000000"/>
          <w:sz w:val="28"/>
          <w:szCs w:val="28"/>
        </w:rPr>
        <w:t>7</w:t>
      </w:r>
      <w:r w:rsidR="00506031" w:rsidRPr="00506031">
        <w:rPr>
          <w:b/>
          <w:bCs/>
          <w:color w:val="000000"/>
          <w:sz w:val="28"/>
          <w:szCs w:val="28"/>
        </w:rPr>
        <w:t>. Chính sách về thanh toán</w:t>
      </w:r>
      <w:bookmarkEnd w:id="9"/>
      <w:r>
        <w:rPr>
          <w:b/>
          <w:bCs/>
          <w:color w:val="000000"/>
          <w:sz w:val="28"/>
          <w:szCs w:val="28"/>
        </w:rPr>
        <w:t xml:space="preserve"> (Điều 10 Nghị định 248/2026/NĐ-CP)</w:t>
      </w:r>
    </w:p>
    <w:p w14:paraId="7415CCB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Chính sách về thanh toán trên nền tảng thương mại điện tử có chức năng đặt hàng trực tuyến bao gồm ít nhất các nội dung sau đây:</w:t>
      </w:r>
    </w:p>
    <w:p w14:paraId="035B2AE0"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Phương thức thanh toán áp dụng cho hàng hóa hoặc dịch vụ giới thiệu trên nền tảng, kèm theo giải thích rõ ràng, chính xác để khách hàng có thể hiểu và lựa chọn phương thức thanh toán phù hợp;</w:t>
      </w:r>
    </w:p>
    <w:p w14:paraId="5B88953C"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Phương thức hoàn tiền trong trường hợp đối trả hàng hóa hoặc chấm dứt dịch vụ;</w:t>
      </w:r>
    </w:p>
    <w:p w14:paraId="21D2120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3. Trường hợp nền tảng thương mại điện tử thiết lập cơ chế tích điểm, hoàn điểm hoặc ưu đãi có giá trị quy đổi, nền tảng phải công khai trong chính sách thanh toán cách thức hình thành và sử dụng điểm, phạm vi áp dụng, điều kiện, tỷ lệ, giới hạn quy đổi và trách nhiệm của các bên; điểm không được quy đổi để rút tiền mặt.</w:t>
      </w:r>
    </w:p>
    <w:p w14:paraId="130ACB0C"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10" w:name="dieu_11"/>
      <w:r>
        <w:rPr>
          <w:b/>
          <w:bCs/>
          <w:color w:val="000000"/>
          <w:sz w:val="28"/>
          <w:szCs w:val="28"/>
        </w:rPr>
        <w:t>8</w:t>
      </w:r>
      <w:r w:rsidR="00506031" w:rsidRPr="00506031">
        <w:rPr>
          <w:b/>
          <w:bCs/>
          <w:color w:val="000000"/>
          <w:sz w:val="28"/>
          <w:szCs w:val="28"/>
        </w:rPr>
        <w:t>. Chính sách về ưu tiên hiển thị</w:t>
      </w:r>
      <w:bookmarkEnd w:id="10"/>
      <w:r>
        <w:rPr>
          <w:b/>
          <w:bCs/>
          <w:color w:val="000000"/>
          <w:sz w:val="28"/>
          <w:szCs w:val="28"/>
        </w:rPr>
        <w:t xml:space="preserve"> (Điều 11 Nghị định 248/2026/NĐ-CP)</w:t>
      </w:r>
    </w:p>
    <w:p w14:paraId="201C54CB"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Trường hợp nền tảng thương mại điện tử có sử dụng thuật toán hoặc biện pháp để hạn chế hoặc ưu tiên việc hiển thị hàng hóa, dịch vụ thì phải công khai toàn bộ các tiêu chí chính được sử dụng quy định tại khoản 2 Điều này.</w:t>
      </w:r>
    </w:p>
    <w:p w14:paraId="79EDA38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Các tiêu chí chính được sử dụng có thể bao gồm:</w:t>
      </w:r>
    </w:p>
    <w:p w14:paraId="2CA712DD"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a) Mức độ phù hợp với từ khóa tìm kiếm (bao gồm tên hàng hóa, dịch vụ, mô tả hàng hóa, dịch vụ);</w:t>
      </w:r>
    </w:p>
    <w:p w14:paraId="208B715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b) Trả phí để hiển thị;</w:t>
      </w:r>
    </w:p>
    <w:p w14:paraId="2087F44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 Lịch sử tìm kiếm, giao dịch của người mua trên nền tảng;</w:t>
      </w:r>
    </w:p>
    <w:p w14:paraId="1AB2B07E"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d) Đánh giá và phản hồi của người mua;</w:t>
      </w:r>
    </w:p>
    <w:p w14:paraId="542998CE"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đ) Số lượng đơn hàng thành công;</w:t>
      </w:r>
    </w:p>
    <w:p w14:paraId="5AD7F82B"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e) Các yếu tố liên quan đến địa phương, quốc gia, vùng lãnh thổ của người sử dụng;</w:t>
      </w:r>
    </w:p>
    <w:p w14:paraId="2A586197"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g) Phương thức giao hàng, thanh toán;</w:t>
      </w:r>
    </w:p>
    <w:p w14:paraId="1BA49AC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h) Các tiêu chí chính khác.</w:t>
      </w:r>
    </w:p>
    <w:p w14:paraId="14D26B42"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3. Trường hợp nền tảng thương mại điện tử cho phép người sử dụng lựa chọn hoặc chỉnh sửa các tiêu chí chính nêu tại khoản 2 của Điều này, chủ quản nền tảng công khai cách thức thực hiện việc lựa chọn hoặc chỉnh sửa này.</w:t>
      </w:r>
    </w:p>
    <w:p w14:paraId="676987D5"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11" w:name="dieu_12"/>
      <w:r>
        <w:rPr>
          <w:b/>
          <w:bCs/>
          <w:color w:val="000000"/>
          <w:sz w:val="28"/>
          <w:szCs w:val="28"/>
        </w:rPr>
        <w:t>9</w:t>
      </w:r>
      <w:r w:rsidR="00506031" w:rsidRPr="00506031">
        <w:rPr>
          <w:b/>
          <w:bCs/>
          <w:color w:val="000000"/>
          <w:sz w:val="28"/>
          <w:szCs w:val="28"/>
        </w:rPr>
        <w:t>. Quy chế hoạt động livestream bán hàng</w:t>
      </w:r>
      <w:bookmarkEnd w:id="11"/>
      <w:r>
        <w:rPr>
          <w:b/>
          <w:bCs/>
          <w:color w:val="000000"/>
          <w:sz w:val="28"/>
          <w:szCs w:val="28"/>
        </w:rPr>
        <w:t xml:space="preserve"> (Điều 12 Nghị định 248/2026/NĐ-CP)</w:t>
      </w:r>
    </w:p>
    <w:p w14:paraId="568CF3CF"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lastRenderedPageBreak/>
        <w:t>Trường hợp nền tảng thương mại điện tử có cung cấp tính năng livestream bán hàng thì phải công khai quy chế hoạt động livestream bán hàng bao gồm ít nhất các nội dung sau đây:</w:t>
      </w:r>
    </w:p>
    <w:p w14:paraId="7872289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Quyền và nghĩa vụ của các bên tham gia livestream bán hàng;</w:t>
      </w:r>
    </w:p>
    <w:p w14:paraId="4E8BDAE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Đối tượng, quy trình, hướng dẫn người livestream bán hàng thực hiện định danh xác thực điện tử;</w:t>
      </w:r>
    </w:p>
    <w:p w14:paraId="6659DD02"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3. Điều kiện, quy trình, thủ tục về đăng ký mở tài khoản người bán và người livestream bán hàng;</w:t>
      </w:r>
    </w:p>
    <w:p w14:paraId="208070B1"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4. Quy định các trường hợp cụ thể bị dừng phát trực tuyến, gỡ bỏ thông tin hiển thị, đường dẫn liên kết;</w:t>
      </w:r>
    </w:p>
    <w:p w14:paraId="7A6FFD6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5. Quy trình, hướng dẫn cụ thể về cách thức thực hiện công cụ cho phép người livestream bán hàng hiển thị nội dung cảnh báo khi livestream bán hàng đối với hàng hóa, dịch vụ có nguy cơ gây mất an toàn, ảnh hưởng xấu đến tính mạng, sức khỏe, tài sản của người mua theo quy định của pháp luật;</w:t>
      </w:r>
    </w:p>
    <w:p w14:paraId="3559671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6. Quy trình, hướng dẫn cụ thể về cách thức thực hiện cơ chế tiếp nhận và giải quyết phản ánh, yêu cầu, khiếu nại của người xem trong và sau quá trình livestream bán hàng.</w:t>
      </w:r>
    </w:p>
    <w:p w14:paraId="41D46479"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12" w:name="dieu_13"/>
      <w:r>
        <w:rPr>
          <w:b/>
          <w:bCs/>
          <w:color w:val="000000"/>
          <w:sz w:val="28"/>
          <w:szCs w:val="28"/>
        </w:rPr>
        <w:t>10</w:t>
      </w:r>
      <w:r w:rsidR="00506031" w:rsidRPr="00506031">
        <w:rPr>
          <w:b/>
          <w:bCs/>
          <w:color w:val="000000"/>
          <w:sz w:val="28"/>
          <w:szCs w:val="28"/>
        </w:rPr>
        <w:t>. Chính sách về giao hàng</w:t>
      </w:r>
      <w:bookmarkEnd w:id="12"/>
      <w:r>
        <w:rPr>
          <w:b/>
          <w:bCs/>
          <w:color w:val="000000"/>
          <w:sz w:val="28"/>
          <w:szCs w:val="28"/>
        </w:rPr>
        <w:t xml:space="preserve"> (Điều 13 Nghị định 248/2026/NĐ-CP)</w:t>
      </w:r>
    </w:p>
    <w:p w14:paraId="0C1F599D"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Nền tảng thương mại điện tử có chức năng đặt hàng trực tuyến có hoạt động mua bán hàng hóa phải công khai chính sách về giao hàng, bao gồm ít nhất các nội dung sau đây:</w:t>
      </w:r>
    </w:p>
    <w:p w14:paraId="29BDA5D7"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Các phương thức giao hàng, đơn vị vận chuyển, giao hàng;</w:t>
      </w:r>
    </w:p>
    <w:p w14:paraId="6B8FFFB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Thời hạn ước tính cho việc giao hàng;</w:t>
      </w:r>
    </w:p>
    <w:p w14:paraId="0E52352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3. Các giới hạn về mặt địa lý cho việc giao hàng (nếu có);</w:t>
      </w:r>
    </w:p>
    <w:p w14:paraId="02CDBDA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4. Trách nhiệm của tổ chức cung cấp dịch vụ logistics về cung cấp thông tin đơn hàng trong quá trình giao hàng;</w:t>
      </w:r>
    </w:p>
    <w:p w14:paraId="29F1C17B"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5. Chính sách kiểm hàng (nếu có).</w:t>
      </w:r>
    </w:p>
    <w:p w14:paraId="3A98514C"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13" w:name="dieu_14"/>
      <w:r>
        <w:rPr>
          <w:b/>
          <w:bCs/>
          <w:color w:val="000000"/>
          <w:sz w:val="28"/>
          <w:szCs w:val="28"/>
        </w:rPr>
        <w:t>11</w:t>
      </w:r>
      <w:r w:rsidR="00506031" w:rsidRPr="00506031">
        <w:rPr>
          <w:b/>
          <w:bCs/>
          <w:color w:val="000000"/>
          <w:sz w:val="28"/>
          <w:szCs w:val="28"/>
        </w:rPr>
        <w:t>. Chính sách về đổi trả hàng và hoàn tiền</w:t>
      </w:r>
      <w:bookmarkEnd w:id="13"/>
      <w:r>
        <w:rPr>
          <w:b/>
          <w:bCs/>
          <w:color w:val="000000"/>
          <w:sz w:val="28"/>
          <w:szCs w:val="28"/>
        </w:rPr>
        <w:t xml:space="preserve"> (</w:t>
      </w:r>
      <w:r w:rsidRPr="00506031">
        <w:rPr>
          <w:b/>
          <w:bCs/>
          <w:color w:val="000000"/>
          <w:sz w:val="28"/>
          <w:szCs w:val="28"/>
        </w:rPr>
        <w:t xml:space="preserve">Điều </w:t>
      </w:r>
      <w:r>
        <w:rPr>
          <w:b/>
          <w:bCs/>
          <w:color w:val="000000"/>
          <w:sz w:val="28"/>
          <w:szCs w:val="28"/>
        </w:rPr>
        <w:t>1</w:t>
      </w:r>
      <w:r w:rsidRPr="00506031">
        <w:rPr>
          <w:b/>
          <w:bCs/>
          <w:color w:val="000000"/>
          <w:sz w:val="28"/>
          <w:szCs w:val="28"/>
        </w:rPr>
        <w:t>4</w:t>
      </w:r>
      <w:r>
        <w:rPr>
          <w:b/>
          <w:bCs/>
          <w:color w:val="000000"/>
          <w:sz w:val="28"/>
          <w:szCs w:val="28"/>
        </w:rPr>
        <w:t xml:space="preserve"> Nghị định 248/2026/NĐ-CP)</w:t>
      </w:r>
    </w:p>
    <w:p w14:paraId="00739147"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Nền tảng thương mại điện tử có chức năng đặt hàng trực tuyến có hoạt động mua bán hàng hóa phải công khai chính sách về đổi trả hàng và hoàn tiền, bao gồm ít nhất các nội dung sau đây:</w:t>
      </w:r>
    </w:p>
    <w:p w14:paraId="6C98FAE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Điều kiện về hàng hóa được đổi trả hàng và hoàn tiền;</w:t>
      </w:r>
    </w:p>
    <w:p w14:paraId="43DE4CE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Thời hạn yêu cầu đổi trả hàng và hoàn tiền;</w:t>
      </w:r>
    </w:p>
    <w:p w14:paraId="42392F55"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3. Quy trình tiếp nhận, xử lý yêu cầu đổi trả hàng và hoàn tiền;</w:t>
      </w:r>
    </w:p>
    <w:p w14:paraId="26D99B8F"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4. Phương thức đổi trả hàng và hoàn tiền;</w:t>
      </w:r>
    </w:p>
    <w:p w14:paraId="053181F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5. Chi phí hoàn trả của các bên.</w:t>
      </w:r>
    </w:p>
    <w:p w14:paraId="57537902"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14" w:name="dieu_15"/>
      <w:r>
        <w:rPr>
          <w:b/>
          <w:bCs/>
          <w:color w:val="000000"/>
          <w:sz w:val="28"/>
          <w:szCs w:val="28"/>
        </w:rPr>
        <w:lastRenderedPageBreak/>
        <w:t>12</w:t>
      </w:r>
      <w:r w:rsidR="00506031" w:rsidRPr="00506031">
        <w:rPr>
          <w:b/>
          <w:bCs/>
          <w:color w:val="000000"/>
          <w:sz w:val="28"/>
          <w:szCs w:val="28"/>
        </w:rPr>
        <w:t>. Chính sách về phương thức cung cấp dịch vụ</w:t>
      </w:r>
      <w:bookmarkEnd w:id="14"/>
      <w:r>
        <w:rPr>
          <w:b/>
          <w:bCs/>
          <w:color w:val="000000"/>
          <w:sz w:val="28"/>
          <w:szCs w:val="28"/>
        </w:rPr>
        <w:t xml:space="preserve"> (Điều 15 Nghị định 248/2026/NĐ-CP)</w:t>
      </w:r>
    </w:p>
    <w:p w14:paraId="385615DF"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Trường hợp nền tảng thương mại điện tử có chức năng đặt hàng trực tuyến cung cấp dịch vụ sử dụng trực tiếp trên nền tảng, nền tảng công khai chính sách về phương thức cung cấp dịch vụ, bao gồm ít nhất các nội dung sau đây:</w:t>
      </w:r>
    </w:p>
    <w:p w14:paraId="5991E52D"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a) Thời hạn sử dụng dịch vụ, loại thiết bị điện tử phù hợp, số lượng thiết bị được phép sử dụng đồng thời;</w:t>
      </w:r>
    </w:p>
    <w:p w14:paraId="4D11CF0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b) Mô tả cụ thể cách sử dụng dịch vụ và các tính năng chính của dịch vụ;</w:t>
      </w:r>
    </w:p>
    <w:p w14:paraId="3F403E06"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c) Thông báo về các hạn chế trong quá trình sử dụng (nếu có).</w:t>
      </w:r>
    </w:p>
    <w:p w14:paraId="1E983709"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Trường hợp nền tảng thương mại điện tử có chức năng đặt hàng trực tuyến cung cấp dịch vụ đặt hàng trước, sử dụng sau, nền tảng công khai chính sách về phương thức cung cấp dịch vụ bao gồm ít nhất các nội dung sau đây:</w:t>
      </w:r>
    </w:p>
    <w:p w14:paraId="5084195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a) Công bố điều kiện, hình thức sử dụng dịch vụ tại địa điểm cung cấp;</w:t>
      </w:r>
    </w:p>
    <w:p w14:paraId="76CD7DA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b) Thời hạn sử dụng dịch vụ; điều kiện đổi, hủy và các chi phí phát sinh (nếu có).</w:t>
      </w:r>
    </w:p>
    <w:p w14:paraId="445AD925" w14:textId="77777777" w:rsidR="00506031" w:rsidRPr="00506031" w:rsidRDefault="002F5959" w:rsidP="0053437E">
      <w:pPr>
        <w:pStyle w:val="NormalWeb"/>
        <w:shd w:val="clear" w:color="auto" w:fill="FFFFFF"/>
        <w:spacing w:before="120" w:beforeAutospacing="0" w:after="120" w:afterAutospacing="0" w:line="234" w:lineRule="atLeast"/>
        <w:jc w:val="both"/>
        <w:rPr>
          <w:color w:val="000000"/>
          <w:sz w:val="28"/>
          <w:szCs w:val="28"/>
        </w:rPr>
      </w:pPr>
      <w:bookmarkStart w:id="15" w:name="dieu_16"/>
      <w:r>
        <w:rPr>
          <w:b/>
          <w:bCs/>
          <w:color w:val="000000"/>
          <w:sz w:val="28"/>
          <w:szCs w:val="28"/>
        </w:rPr>
        <w:t>13</w:t>
      </w:r>
      <w:r w:rsidR="00506031" w:rsidRPr="00506031">
        <w:rPr>
          <w:b/>
          <w:bCs/>
          <w:color w:val="000000"/>
          <w:sz w:val="28"/>
          <w:szCs w:val="28"/>
        </w:rPr>
        <w:t>. Chính sách chấm dứt dịch vụ và hoàn tiền</w:t>
      </w:r>
      <w:bookmarkEnd w:id="15"/>
      <w:r>
        <w:rPr>
          <w:b/>
          <w:bCs/>
          <w:color w:val="000000"/>
          <w:sz w:val="28"/>
          <w:szCs w:val="28"/>
        </w:rPr>
        <w:t xml:space="preserve"> (Điều 16 Nghị định 248/2026/NĐ-CP)</w:t>
      </w:r>
    </w:p>
    <w:p w14:paraId="6C4939FA"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Nền tảng thương mại điện tử có chức năng đặt hàng trực tuyến cung cấp dịch vụ trên nền tảng phải công khai chính sách chấm dứt dịch vụ cho người mua, bao gồm ít nhất các nội dung sau đây:</w:t>
      </w:r>
    </w:p>
    <w:p w14:paraId="50422E5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1. Các trường hợp chấm dứt dịch vụ và cách thức giải quyết hậu quả của việc chấm dứt dịch vụ;</w:t>
      </w:r>
    </w:p>
    <w:p w14:paraId="15F8CFFF"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2. Thời điểm hợp đồng chấm dứt hiệu lực và cách thức thanh toán phí dịch vụ trong trường hợp người mua là bên chấm dứt hợp đồng. Trường hợp không công bố rõ thời điểm hợp đồng chấm dứt hiệu lực trong trường hợp người mua là bên chấm dứt hợp đồng, thì thời điểm người mua gửi thông báo được coi là thời điểm hợp đồng chấm dứt;</w:t>
      </w:r>
    </w:p>
    <w:p w14:paraId="05501DF1"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3. Quy trình, thời hạn phản hồi cho người mua thực hiện gửi thông báo chấm dứt hợp đồng trên nền tảng thương mại điện tử khi hết nhu cầu sử dụng dịch vụ;</w:t>
      </w:r>
    </w:p>
    <w:p w14:paraId="6D9951C8" w14:textId="77777777" w:rsidR="00506031" w:rsidRPr="00506031" w:rsidRDefault="00506031" w:rsidP="0053437E">
      <w:pPr>
        <w:pStyle w:val="NormalWeb"/>
        <w:shd w:val="clear" w:color="auto" w:fill="FFFFFF"/>
        <w:spacing w:before="120" w:beforeAutospacing="0" w:after="120" w:afterAutospacing="0" w:line="234" w:lineRule="atLeast"/>
        <w:jc w:val="both"/>
        <w:rPr>
          <w:color w:val="000000"/>
          <w:sz w:val="28"/>
          <w:szCs w:val="28"/>
        </w:rPr>
      </w:pPr>
      <w:r w:rsidRPr="00506031">
        <w:rPr>
          <w:color w:val="000000"/>
          <w:sz w:val="28"/>
          <w:szCs w:val="28"/>
        </w:rPr>
        <w:t>4. Cách thức hoàn tiền khi chấm dứt dịch vụ.</w:t>
      </w:r>
    </w:p>
    <w:p w14:paraId="2DE35E71" w14:textId="77777777" w:rsidR="00506031" w:rsidRDefault="00506031" w:rsidP="0053437E">
      <w:pPr>
        <w:pStyle w:val="NormalWeb"/>
        <w:shd w:val="clear" w:color="auto" w:fill="FFFFFF"/>
        <w:spacing w:before="120" w:beforeAutospacing="0" w:after="120" w:afterAutospacing="0" w:line="234" w:lineRule="atLeast"/>
        <w:jc w:val="center"/>
        <w:rPr>
          <w:b/>
          <w:bCs/>
          <w:color w:val="000000"/>
          <w:sz w:val="28"/>
          <w:szCs w:val="28"/>
        </w:rPr>
      </w:pPr>
    </w:p>
    <w:p w14:paraId="06AAE767" w14:textId="77777777" w:rsidR="00387BE5" w:rsidRPr="00387BE5" w:rsidRDefault="002B2B28" w:rsidP="00ED28A5">
      <w:pPr>
        <w:pStyle w:val="NormalWeb"/>
        <w:shd w:val="clear" w:color="auto" w:fill="FFFFFF"/>
        <w:spacing w:before="120" w:beforeAutospacing="0" w:after="120" w:afterAutospacing="0" w:line="234" w:lineRule="atLeast"/>
        <w:jc w:val="both"/>
        <w:rPr>
          <w:color w:val="000000"/>
          <w:sz w:val="28"/>
          <w:szCs w:val="28"/>
        </w:rPr>
      </w:pPr>
      <w:r>
        <w:rPr>
          <w:b/>
          <w:bCs/>
          <w:color w:val="000000"/>
          <w:sz w:val="28"/>
          <w:szCs w:val="28"/>
        </w:rPr>
        <w:t xml:space="preserve">II. </w:t>
      </w:r>
      <w:r w:rsidR="00387BE5" w:rsidRPr="00387BE5">
        <w:rPr>
          <w:b/>
          <w:bCs/>
          <w:color w:val="000000"/>
          <w:sz w:val="28"/>
          <w:szCs w:val="28"/>
        </w:rPr>
        <w:t>DỊCH VỤ CHỨNG THỰC HỢP ĐỒNG ĐIỆN TỬ TRONG THƯƠNG MẠI</w:t>
      </w:r>
      <w:bookmarkEnd w:id="1"/>
      <w:r w:rsidR="00387BE5" w:rsidRPr="00387BE5">
        <w:rPr>
          <w:b/>
          <w:bCs/>
          <w:color w:val="000000"/>
          <w:sz w:val="28"/>
          <w:szCs w:val="28"/>
        </w:rPr>
        <w:t> </w:t>
      </w:r>
    </w:p>
    <w:p w14:paraId="657BFF6E"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bookmarkStart w:id="16" w:name="dieu_41"/>
      <w:r>
        <w:rPr>
          <w:b/>
          <w:bCs/>
          <w:color w:val="000000"/>
          <w:sz w:val="28"/>
          <w:szCs w:val="28"/>
        </w:rPr>
        <w:t>1.</w:t>
      </w:r>
      <w:r w:rsidRPr="00387BE5">
        <w:rPr>
          <w:b/>
          <w:bCs/>
          <w:color w:val="000000"/>
          <w:sz w:val="28"/>
          <w:szCs w:val="28"/>
        </w:rPr>
        <w:t xml:space="preserve"> Trách nhiệm của tổ chức cung cấp dịch vụ chứng thực hợp đồng điện tử trong thương mại</w:t>
      </w:r>
      <w:bookmarkEnd w:id="16"/>
      <w:r>
        <w:rPr>
          <w:b/>
          <w:bCs/>
          <w:color w:val="000000"/>
          <w:sz w:val="28"/>
          <w:szCs w:val="28"/>
        </w:rPr>
        <w:t xml:space="preserve"> (Điều 41 Nghị định 248/2026/NĐ-CP)</w:t>
      </w:r>
    </w:p>
    <w:p w14:paraId="610314D2"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1. Bảo đảm tính bảo mật, tính toàn vẹn và khả năng xác thực của hợp đồng điện tử được lưu trữ và chứng thực thông qua hệ thống cung cấp dịch vụ của mình.</w:t>
      </w:r>
    </w:p>
    <w:p w14:paraId="4E42B1C7"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lastRenderedPageBreak/>
        <w:t>2. Cử đầu mối liên hệ trực tuyến, cung cấp tài liệu và hỗ trợ cơ quan nhà nước có thẩm quyền trong việc điều tra các hành vi vi phạm pháp luật liên quan đến dịch vụ chứng thực hợp đồng điện tử trong thương mại.</w:t>
      </w:r>
    </w:p>
    <w:p w14:paraId="6FAAF1F0"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3. Công khai quy chế hoạt động cung cấp dịch vụ chứng thực hợp đồng điện tử trong thương mại tại vị trí dễ thấy, bằng ngôn ngữ tiếng Việt trên hệ thống cung cấp dịch vụ của mình.</w:t>
      </w:r>
    </w:p>
    <w:p w14:paraId="0C106B71"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4. Lưu trữ đầy đủ, an toàn dữ liệu về hợp đồng điện tử đã được chứng thực; bảo đảm khả năng truy cập, tra cứu và cung cấp khi có yêu cầu của cơ quan nhà nước có thẩm quyền. Thời hạn lưu trữ thực hiện theo quy định của pháp luật về kế toán, tối thiểu là 10 năm kể từ thời điểm hợp đồng điện tử được chứng thực, trừ trường hợp pháp luật có quy định thời hạn dài hơn.</w:t>
      </w:r>
    </w:p>
    <w:p w14:paraId="6CF68D37"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bookmarkStart w:id="17" w:name="dieu_42"/>
      <w:r w:rsidRPr="00387BE5">
        <w:rPr>
          <w:b/>
          <w:bCs/>
          <w:color w:val="000000"/>
          <w:sz w:val="28"/>
          <w:szCs w:val="28"/>
        </w:rPr>
        <w:t>2. Điều kiện kinh doanh dịch vụ chứng thực hợp đồng điện tử trong thương mại</w:t>
      </w:r>
      <w:bookmarkEnd w:id="17"/>
      <w:r>
        <w:rPr>
          <w:b/>
          <w:bCs/>
          <w:color w:val="000000"/>
          <w:sz w:val="28"/>
          <w:szCs w:val="28"/>
        </w:rPr>
        <w:t xml:space="preserve"> (Điều 42 Nghị định 248/2026/NĐ-CP)</w:t>
      </w:r>
    </w:p>
    <w:p w14:paraId="4994558A"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1. Tổ chức được cấp Giấy phép kinh doanh dịch vụ chứng thực hợp đồng điện tử trong thương mại khi đáp ứng điều kiện sau:</w:t>
      </w:r>
    </w:p>
    <w:p w14:paraId="5AA271F6"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a) Có Giấy phép kinh doanh dịch vụ tin cậy có loại dịch vụ được phép kinh doanh là cung cấp dịch vụ chứng thực thông điệp dữ liệu theo pháp luật về giao dịch điện tử;</w:t>
      </w:r>
    </w:p>
    <w:p w14:paraId="24FADA9D"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b) Có Đề án cung cấp dịch vụ chứng thực hợp đồng điện tử trong thương mại theo quy định tại </w:t>
      </w:r>
      <w:bookmarkStart w:id="18" w:name="tc_32"/>
      <w:r w:rsidRPr="00387BE5">
        <w:rPr>
          <w:color w:val="0000FF"/>
          <w:sz w:val="28"/>
          <w:szCs w:val="28"/>
        </w:rPr>
        <w:t>Điều 44 của Nghị định này</w:t>
      </w:r>
      <w:bookmarkEnd w:id="18"/>
      <w:r w:rsidRPr="00387BE5">
        <w:rPr>
          <w:color w:val="000000"/>
          <w:sz w:val="28"/>
          <w:szCs w:val="28"/>
        </w:rPr>
        <w:t>.</w:t>
      </w:r>
    </w:p>
    <w:p w14:paraId="46A17042"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2. Giấy phép kinh doanh dịch vụ chứng thực hợp đồng điện tử trong thương mại có thời hạn 10 năm.</w:t>
      </w:r>
    </w:p>
    <w:p w14:paraId="3A5C68CC"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bookmarkStart w:id="19" w:name="dieu_43"/>
      <w:r>
        <w:rPr>
          <w:b/>
          <w:bCs/>
          <w:color w:val="000000"/>
          <w:sz w:val="28"/>
          <w:szCs w:val="28"/>
        </w:rPr>
        <w:t>3.</w:t>
      </w:r>
      <w:r w:rsidRPr="00387BE5">
        <w:rPr>
          <w:b/>
          <w:bCs/>
          <w:color w:val="000000"/>
          <w:sz w:val="28"/>
          <w:szCs w:val="28"/>
        </w:rPr>
        <w:t xml:space="preserve"> Hồ sơ cấp phép, sửa đổi, bổ sung giấy phép, thu hồi Giấy phép kinh doanh dịch vụ chứng thực hợp đồng điện tử trong thương mại</w:t>
      </w:r>
      <w:bookmarkEnd w:id="19"/>
      <w:r>
        <w:rPr>
          <w:b/>
          <w:bCs/>
          <w:color w:val="000000"/>
          <w:sz w:val="28"/>
          <w:szCs w:val="28"/>
        </w:rPr>
        <w:t xml:space="preserve"> (Điều 43 Nghị định 248/2026/NĐ-CP)</w:t>
      </w:r>
    </w:p>
    <w:p w14:paraId="062D2544"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1. Hồ sơ cấp phép kinh doanh dịch vụ chứng thực hợp đồng điện tử trong thương mại:</w:t>
      </w:r>
    </w:p>
    <w:p w14:paraId="0CFB5C4D"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a) Tờ khai thông tin theo </w:t>
      </w:r>
      <w:bookmarkStart w:id="20" w:name="bieumau_ms_03_pl2"/>
      <w:r w:rsidRPr="00387BE5">
        <w:rPr>
          <w:color w:val="000000"/>
          <w:sz w:val="28"/>
          <w:szCs w:val="28"/>
        </w:rPr>
        <w:t>Mẫu số 03 tại Phụ lục II</w:t>
      </w:r>
      <w:bookmarkEnd w:id="20"/>
      <w:r w:rsidRPr="00387BE5">
        <w:rPr>
          <w:color w:val="000000"/>
          <w:sz w:val="28"/>
          <w:szCs w:val="28"/>
        </w:rPr>
        <w:t> của Nghị định này;</w:t>
      </w:r>
    </w:p>
    <w:p w14:paraId="2210AB19"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b) Bản chụp giấy phép, giấy chứng nhận, chứng chỉ, văn bản xác nhận, chấp thuận của cơ quan có thẩm quyền hoặc các văn bản tương tự khác chứng minh đáp ứng các điều kiện kinh doanh dịch vụ chứng thực hợp đồng điện tử trong thương mại (nếu có);</w:t>
      </w:r>
    </w:p>
    <w:p w14:paraId="7480AF9A"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dịch vụ công quốc gia thì không phải cung cấp lại;</w:t>
      </w:r>
    </w:p>
    <w:p w14:paraId="07DD98C4"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c) Đề án cung cấp dịch vụ chứng thực hợp đồng điện tử trong thương mại theo nội dung quy định tại </w:t>
      </w:r>
      <w:bookmarkStart w:id="21" w:name="tc_33"/>
      <w:r w:rsidRPr="00387BE5">
        <w:rPr>
          <w:color w:val="0000FF"/>
          <w:sz w:val="28"/>
          <w:szCs w:val="28"/>
        </w:rPr>
        <w:t>Điều 44 của Nghị định này</w:t>
      </w:r>
      <w:bookmarkEnd w:id="21"/>
      <w:r w:rsidRPr="00387BE5">
        <w:rPr>
          <w:color w:val="000000"/>
          <w:sz w:val="28"/>
          <w:szCs w:val="28"/>
        </w:rPr>
        <w:t>. Mẫu Đề án theo </w:t>
      </w:r>
      <w:bookmarkStart w:id="22" w:name="bieumau_ms_06_pl2"/>
      <w:r w:rsidRPr="00387BE5">
        <w:rPr>
          <w:color w:val="000000"/>
          <w:sz w:val="28"/>
          <w:szCs w:val="28"/>
        </w:rPr>
        <w:t>Mẫu số 06 tại Phụ lục II</w:t>
      </w:r>
      <w:bookmarkEnd w:id="22"/>
      <w:r w:rsidRPr="00387BE5">
        <w:rPr>
          <w:color w:val="000000"/>
          <w:sz w:val="28"/>
          <w:szCs w:val="28"/>
        </w:rPr>
        <w:t> của Nghị định này.</w:t>
      </w:r>
    </w:p>
    <w:p w14:paraId="5B3A4761"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lastRenderedPageBreak/>
        <w:t>2. Hồ sơ sửa đổi, bổ sung Giấy phép kinh doanh dịch vụ chứng thực hợp đồng điện tử trong thương mại bao gồm:</w:t>
      </w:r>
    </w:p>
    <w:p w14:paraId="65D14C92"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Tổ chức cung cấp dịch vụ chứng thực hợp đồng điện tử trong thương mại thực hiện thủ tục sửa đổi, bổ sung giấy phép trong thời hạn 20 ngày làm việc kể từ ngày thay đổi một trong những thông tin sau đây: người chịu trách nhiệm quản lý hoạt động cung cấp dịch vụ; thông tin Giấy chứng nhận đăng ký doanh nghiệp (đối với doanh nghiệp) hoặc Quyết định thành lập (đối với tổ chức); nội dung công khai về quy chế chứng thực; nội dung đề án cung cấp dịch vụ chứng thực hợp đồng điện tử trong thương mại.</w:t>
      </w:r>
    </w:p>
    <w:p w14:paraId="2973724E"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Hồ sơ sửa đổi, bổ sung giấy phép bao gồm:</w:t>
      </w:r>
    </w:p>
    <w:p w14:paraId="4CF4D814"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a) Tờ khai thông tin theo </w:t>
      </w:r>
      <w:bookmarkStart w:id="23" w:name="bieumau_ms_03_pl2_1"/>
      <w:r w:rsidRPr="00387BE5">
        <w:rPr>
          <w:color w:val="000000"/>
          <w:sz w:val="28"/>
          <w:szCs w:val="28"/>
        </w:rPr>
        <w:t>Mẫu số 03 tại Phụ lục II</w:t>
      </w:r>
      <w:bookmarkEnd w:id="23"/>
      <w:r w:rsidRPr="00387BE5">
        <w:rPr>
          <w:color w:val="000000"/>
          <w:sz w:val="28"/>
          <w:szCs w:val="28"/>
        </w:rPr>
        <w:t> của Nghị định này;</w:t>
      </w:r>
    </w:p>
    <w:p w14:paraId="68124484"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b) Tài liệu chứng minh lý do sửa đổi, bổ sung giấy phép (đối với trường hợp thay đổi các nội dung đã được cấp phép).</w:t>
      </w:r>
    </w:p>
    <w:p w14:paraId="1FDB6036"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dịch vụ công quốc gia thì không phải cung cấp lại.</w:t>
      </w:r>
    </w:p>
    <w:p w14:paraId="3E06AC71"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3. Thu hồi Giấy phép kinh doanh dịch vụ chứng thực hợp đồng điện tử trong thương mại trong các trường hợp sau đây:</w:t>
      </w:r>
    </w:p>
    <w:p w14:paraId="21124711"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a) Tổ chức cung cấp dịch vụ chứng thực hợp đồng điện tử trong thương mại dừng cung cấp dịch vụ và có hồ sơ đề nghị thu hồi Giấy phép kinh doanh cung cấp dịch vụ chứng thực hợp đồng điện tử trong thương mại theo quy định tại khoản 4 Điều này;</w:t>
      </w:r>
    </w:p>
    <w:p w14:paraId="553D0CC0"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b) Tổ chức cung cấp dịch vụ chứng thực hợp đồng điện tử trong thương mại có thực hiện hành vi vi phạm pháp luật mà phải chấm dứt hoạt động theo quy định của pháp luật về xử lý vi phạm hành chính.</w:t>
      </w:r>
    </w:p>
    <w:p w14:paraId="221EF6B9"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4. Hồ sơ đề nghị thu hồi Giấy phép kinh doanh dịch vụ chứng thực hợp đồng điện tử trong thương mại bao gồm:</w:t>
      </w:r>
    </w:p>
    <w:p w14:paraId="18EBC9F0"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a) Tờ khai thông tin theo </w:t>
      </w:r>
      <w:bookmarkStart w:id="24" w:name="bieumau_ms_03_pl2_2"/>
      <w:r w:rsidRPr="00387BE5">
        <w:rPr>
          <w:color w:val="000000"/>
          <w:sz w:val="28"/>
          <w:szCs w:val="28"/>
        </w:rPr>
        <w:t>Mẫu số 03 tại Phụ lục II</w:t>
      </w:r>
      <w:bookmarkEnd w:id="24"/>
      <w:r w:rsidRPr="00387BE5">
        <w:rPr>
          <w:color w:val="000000"/>
          <w:sz w:val="28"/>
          <w:szCs w:val="28"/>
        </w:rPr>
        <w:t> của Nghị định này;</w:t>
      </w:r>
    </w:p>
    <w:p w14:paraId="28AEAE8B"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b) Tài liệu (nếu có).</w:t>
      </w:r>
    </w:p>
    <w:p w14:paraId="506AC05E"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5. Quy trình cấp phép, sửa đổi, bổ sung giấy phép, thu hồi Giấy phép kinh doanh dịch vụ chứng thực hợp đồng điện tử trong thương mại theo quy định tại </w:t>
      </w:r>
      <w:bookmarkStart w:id="25" w:name="tc_34"/>
      <w:r w:rsidRPr="00387BE5">
        <w:rPr>
          <w:color w:val="0000FF"/>
          <w:sz w:val="28"/>
          <w:szCs w:val="28"/>
        </w:rPr>
        <w:t>Mục III của Phụ lục I của Nghị định này</w:t>
      </w:r>
      <w:bookmarkEnd w:id="25"/>
      <w:r w:rsidRPr="00387BE5">
        <w:rPr>
          <w:color w:val="000000"/>
          <w:sz w:val="28"/>
          <w:szCs w:val="28"/>
        </w:rPr>
        <w:t>.</w:t>
      </w:r>
    </w:p>
    <w:p w14:paraId="2A62C6FE"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6. Ủy ban nhân dân cấp tỉnh thực hiện cấp phép, sửa đổi, bổ sung giấy phép, thu hồi Giấy phép kinh doanh dịch vụ chứng thực hợp đồng điện tử trong thương mại.</w:t>
      </w:r>
    </w:p>
    <w:p w14:paraId="2A78C6E1"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bookmarkStart w:id="26" w:name="dieu_44"/>
      <w:r w:rsidRPr="00387BE5">
        <w:rPr>
          <w:b/>
          <w:bCs/>
          <w:color w:val="000000"/>
          <w:sz w:val="28"/>
          <w:szCs w:val="28"/>
        </w:rPr>
        <w:t>4. Nội dung Đề án cung cấp dịch vụ chứng thực hợp đồng điện tử trong thương mại</w:t>
      </w:r>
      <w:bookmarkEnd w:id="26"/>
      <w:r>
        <w:rPr>
          <w:b/>
          <w:bCs/>
          <w:color w:val="000000"/>
          <w:sz w:val="28"/>
          <w:szCs w:val="28"/>
        </w:rPr>
        <w:t xml:space="preserve"> (Điều 44 Nghị định 248/2026/NĐ-CP)</w:t>
      </w:r>
    </w:p>
    <w:p w14:paraId="76727FF3"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lastRenderedPageBreak/>
        <w:t>1. Thông tin chung về tổ chức cung cấp dịch vụ chứng thực hợp đồng điện tử trong thương mại, bao gồm: tên, loại hình doanh nghiệp, địa chỉ trụ sở, người đại diện theo pháp luật, phương thức liên hệ, phạm vi cung cấp dịch vụ, Giấy phép kinh doanh dịch vụ tin cậy hoặc tài liệu chứng minh đáp ứng điều kiện theo quy định của pháp luật.</w:t>
      </w:r>
    </w:p>
    <w:p w14:paraId="21A381CB"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2. Mô tả phương án lưu trữ, bảo đảm tính toàn vẹn dữ liệu của hợp đồng điện tử và khả năng tra cứu hợp đồng điện tử đã được chứng thực.</w:t>
      </w:r>
    </w:p>
    <w:p w14:paraId="18B70D9C"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3. Mô tả quy trình tiếp nhận, xử lý yêu cầu, phản ánh, khiếu nại của tổ chức, cá nhân; quy trình xử lý sự cố kỹ thuật, vi phạm an toàn thông tin và cơ chế phối hợp với cơ quan nhà nước có thẩm quyền.</w:t>
      </w:r>
    </w:p>
    <w:p w14:paraId="4191CA60" w14:textId="77777777" w:rsidR="00387BE5" w:rsidRPr="00387BE5" w:rsidRDefault="00387BE5" w:rsidP="0053437E">
      <w:pPr>
        <w:pStyle w:val="NormalWeb"/>
        <w:shd w:val="clear" w:color="auto" w:fill="FFFFFF"/>
        <w:spacing w:before="120" w:beforeAutospacing="0" w:after="120" w:afterAutospacing="0" w:line="234" w:lineRule="atLeast"/>
        <w:jc w:val="both"/>
        <w:rPr>
          <w:color w:val="000000"/>
          <w:sz w:val="28"/>
          <w:szCs w:val="28"/>
        </w:rPr>
      </w:pPr>
      <w:r w:rsidRPr="00387BE5">
        <w:rPr>
          <w:color w:val="000000"/>
          <w:sz w:val="28"/>
          <w:szCs w:val="28"/>
        </w:rPr>
        <w:t>4. Quy chế chứng thực hợp đồng điện tử trong thương mại và chính sách cung cấp dịch vụ được công khai trên hệ thống thông tin cung cấp dịch vụ theo quy định.</w:t>
      </w:r>
    </w:p>
    <w:p w14:paraId="110DA144" w14:textId="77777777" w:rsidR="00876826" w:rsidRPr="00387BE5" w:rsidRDefault="00876826" w:rsidP="0053437E">
      <w:pPr>
        <w:jc w:val="both"/>
        <w:rPr>
          <w:rFonts w:cs="Times New Roman"/>
          <w:szCs w:val="28"/>
        </w:rPr>
      </w:pPr>
    </w:p>
    <w:sectPr w:rsidR="00876826" w:rsidRPr="00387BE5" w:rsidSect="003E1E8C">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BE5"/>
    <w:rsid w:val="002B2B28"/>
    <w:rsid w:val="002F5959"/>
    <w:rsid w:val="00387BE5"/>
    <w:rsid w:val="003E1E8C"/>
    <w:rsid w:val="004D4A00"/>
    <w:rsid w:val="00506031"/>
    <w:rsid w:val="0053437E"/>
    <w:rsid w:val="00674701"/>
    <w:rsid w:val="007C5EEC"/>
    <w:rsid w:val="00876826"/>
    <w:rsid w:val="00DB5474"/>
    <w:rsid w:val="00ED28A5"/>
    <w:rsid w:val="00F75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BD5F"/>
  <w15:chartTrackingRefBased/>
  <w15:docId w15:val="{2053F75B-DE79-4F7B-B208-7EBFFD96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7BE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5060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27844">
      <w:bodyDiv w:val="1"/>
      <w:marLeft w:val="0"/>
      <w:marRight w:val="0"/>
      <w:marTop w:val="0"/>
      <w:marBottom w:val="0"/>
      <w:divBdr>
        <w:top w:val="none" w:sz="0" w:space="0" w:color="auto"/>
        <w:left w:val="none" w:sz="0" w:space="0" w:color="auto"/>
        <w:bottom w:val="none" w:sz="0" w:space="0" w:color="auto"/>
        <w:right w:val="none" w:sz="0" w:space="0" w:color="auto"/>
      </w:divBdr>
    </w:div>
    <w:div w:id="128785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2812</Words>
  <Characters>16035</Characters>
  <Application>Microsoft Office Word</Application>
  <DocSecurity>0</DocSecurity>
  <Lines>133</Lines>
  <Paragraphs>37</Paragraphs>
  <ScaleCrop>false</ScaleCrop>
  <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nguyenlinhsctls@gmail.com</cp:lastModifiedBy>
  <cp:revision>11</cp:revision>
  <dcterms:created xsi:type="dcterms:W3CDTF">2026-08-28T08:55:00Z</dcterms:created>
  <dcterms:modified xsi:type="dcterms:W3CDTF">2026-08-28T09:16:00Z</dcterms:modified>
</cp:coreProperties>
</file>