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547" w:rsidRPr="00533634" w:rsidRDefault="009C1B7A" w:rsidP="00533634">
      <w:pPr>
        <w:jc w:val="center"/>
        <w:rPr>
          <w:b/>
          <w:szCs w:val="28"/>
        </w:rPr>
      </w:pPr>
      <w:r>
        <w:rPr>
          <w:b/>
          <w:szCs w:val="28"/>
        </w:rPr>
        <w:t>Phụ lục</w:t>
      </w:r>
      <w:bookmarkStart w:id="0" w:name="_GoBack"/>
      <w:bookmarkEnd w:id="0"/>
    </w:p>
    <w:p w:rsidR="00533634" w:rsidRPr="00533634" w:rsidRDefault="00533634" w:rsidP="00533634">
      <w:pPr>
        <w:jc w:val="center"/>
        <w:rPr>
          <w:b/>
          <w:szCs w:val="28"/>
        </w:rPr>
      </w:pPr>
      <w:r w:rsidRPr="00533634">
        <w:rPr>
          <w:b/>
          <w:szCs w:val="28"/>
        </w:rPr>
        <w:t>So sánh mức chi giữa Nghị quyết 32/2023/NQ-HĐND và Dự thảo Nghị quyết thay thế NQ 32/2023/NQ-HĐND</w:t>
      </w:r>
    </w:p>
    <w:p w:rsidR="00533634" w:rsidRDefault="00533634" w:rsidP="00533634">
      <w:pPr>
        <w:jc w:val="center"/>
        <w:rPr>
          <w:i/>
          <w:szCs w:val="28"/>
        </w:rPr>
      </w:pPr>
      <w:r w:rsidRPr="00533634">
        <w:rPr>
          <w:i/>
          <w:szCs w:val="28"/>
        </w:rPr>
        <w:t>(Kèm theo Báo cáo số     /BC-SKHCN ngày    /   2026)</w:t>
      </w:r>
    </w:p>
    <w:p w:rsidR="00533634" w:rsidRPr="00533634" w:rsidRDefault="00533634" w:rsidP="00533634">
      <w:pPr>
        <w:jc w:val="center"/>
        <w:rPr>
          <w:i/>
          <w:szCs w:val="28"/>
        </w:rPr>
      </w:pPr>
    </w:p>
    <w:tbl>
      <w:tblPr>
        <w:tblW w:w="4965" w:type="pct"/>
        <w:tblLayout w:type="fixed"/>
        <w:tblCellMar>
          <w:left w:w="0" w:type="dxa"/>
          <w:right w:w="0" w:type="dxa"/>
        </w:tblCellMar>
        <w:tblLook w:val="0000" w:firstRow="0" w:lastRow="0" w:firstColumn="0" w:lastColumn="0" w:noHBand="0" w:noVBand="0"/>
      </w:tblPr>
      <w:tblGrid>
        <w:gridCol w:w="558"/>
        <w:gridCol w:w="6805"/>
        <w:gridCol w:w="993"/>
        <w:gridCol w:w="1841"/>
        <w:gridCol w:w="2130"/>
        <w:gridCol w:w="1703"/>
      </w:tblGrid>
      <w:tr w:rsidR="00533634" w:rsidRPr="00533634" w:rsidTr="00533634">
        <w:trPr>
          <w:trHeight w:val="576"/>
          <w:tblHeader/>
        </w:trPr>
        <w:tc>
          <w:tcPr>
            <w:tcW w:w="199" w:type="pct"/>
            <w:vMerge w:val="restart"/>
            <w:tcBorders>
              <w:top w:val="single" w:sz="4" w:space="0" w:color="auto"/>
              <w:left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TT</w:t>
            </w:r>
          </w:p>
        </w:tc>
        <w:tc>
          <w:tcPr>
            <w:tcW w:w="2425" w:type="pct"/>
            <w:vMerge w:val="restart"/>
            <w:tcBorders>
              <w:top w:val="single" w:sz="4" w:space="0" w:color="auto"/>
              <w:left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Nội dung công việc</w:t>
            </w:r>
          </w:p>
        </w:tc>
        <w:tc>
          <w:tcPr>
            <w:tcW w:w="354" w:type="pct"/>
            <w:vMerge w:val="restart"/>
            <w:tcBorders>
              <w:top w:val="single" w:sz="4" w:space="0" w:color="auto"/>
              <w:left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Đơn vị</w:t>
            </w:r>
          </w:p>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tính</w:t>
            </w:r>
          </w:p>
        </w:tc>
        <w:tc>
          <w:tcPr>
            <w:tcW w:w="1415" w:type="pct"/>
            <w:gridSpan w:val="2"/>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Mức chi</w:t>
            </w:r>
          </w:p>
        </w:tc>
        <w:tc>
          <w:tcPr>
            <w:tcW w:w="607" w:type="pct"/>
            <w:vMerge w:val="restart"/>
            <w:tcBorders>
              <w:top w:val="single" w:sz="4" w:space="0" w:color="auto"/>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Ghi chú</w:t>
            </w:r>
          </w:p>
        </w:tc>
      </w:tr>
      <w:tr w:rsidR="00533634" w:rsidRPr="00533634" w:rsidTr="00533634">
        <w:trPr>
          <w:trHeight w:val="576"/>
          <w:tblHeader/>
        </w:trPr>
        <w:tc>
          <w:tcPr>
            <w:tcW w:w="199" w:type="pct"/>
            <w:vMerge/>
            <w:tcBorders>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vMerge/>
            <w:tcBorders>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354" w:type="pct"/>
            <w:vMerge/>
            <w:tcBorders>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Nghị quyết 32/2023/NQ-HĐND</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 xml:space="preserve">Dự thảo Nghị quyết thay thế NQ </w:t>
            </w:r>
            <w:r w:rsidRPr="00533634">
              <w:rPr>
                <w:rFonts w:cs="Times New Roman"/>
                <w:b/>
                <w:bCs/>
                <w:sz w:val="28"/>
                <w:szCs w:val="28"/>
                <w:shd w:val="clear" w:color="auto" w:fill="FFFFFF"/>
                <w:lang w:eastAsia="vi-VN"/>
              </w:rPr>
              <w:t>32/2023/NQ-HĐND</w:t>
            </w:r>
          </w:p>
        </w:tc>
        <w:tc>
          <w:tcPr>
            <w:tcW w:w="607" w:type="pct"/>
            <w:vMerge/>
            <w:tcBorders>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r>
      <w:tr w:rsidR="00533634" w:rsidRPr="00533634" w:rsidTr="005E61FF">
        <w:trPr>
          <w:trHeight w:val="579"/>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sz w:val="28"/>
                <w:szCs w:val="28"/>
                <w:lang w:eastAsia="vi-VN"/>
              </w:rPr>
            </w:pPr>
            <w:r w:rsidRPr="00533634">
              <w:rPr>
                <w:rStyle w:val="Other"/>
                <w:rFonts w:cs="Times New Roman"/>
                <w:sz w:val="28"/>
                <w:szCs w:val="28"/>
                <w:lang w:eastAsia="vi-VN"/>
              </w:rPr>
              <w:t>A</w:t>
            </w:r>
          </w:p>
        </w:tc>
        <w:tc>
          <w:tcPr>
            <w:tcW w:w="4801" w:type="pct"/>
            <w:gridSpan w:val="5"/>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shd w:val="clear" w:color="auto" w:fill="FFFFFF"/>
              <w:spacing w:before="120" w:after="120"/>
              <w:ind w:right="425"/>
              <w:rPr>
                <w:b/>
                <w:bCs/>
                <w:szCs w:val="28"/>
              </w:rPr>
            </w:pPr>
            <w:r w:rsidRPr="00533634">
              <w:rPr>
                <w:b/>
                <w:bCs/>
                <w:szCs w:val="28"/>
              </w:rPr>
              <w:t>Mức chi hoạt động của các Hội đồng khoa học, công nghệ và đổi mới sáng tạo</w:t>
            </w:r>
          </w:p>
          <w:p w:rsidR="00533634" w:rsidRPr="00533634" w:rsidRDefault="00533634" w:rsidP="00E62EDD">
            <w:pPr>
              <w:ind w:left="36" w:right="145"/>
              <w:jc w:val="center"/>
              <w:rPr>
                <w:szCs w:val="28"/>
              </w:rPr>
            </w:pPr>
          </w:p>
        </w:tc>
      </w:tr>
      <w:tr w:rsidR="00533634" w:rsidRPr="00533634" w:rsidTr="00CC1F2A">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1</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b/>
                <w:sz w:val="28"/>
                <w:szCs w:val="28"/>
              </w:rPr>
            </w:pPr>
            <w:r w:rsidRPr="00533634">
              <w:rPr>
                <w:rStyle w:val="Other"/>
                <w:rFonts w:cs="Times New Roman"/>
                <w:b/>
                <w:bCs/>
                <w:sz w:val="28"/>
                <w:szCs w:val="28"/>
                <w:lang w:eastAsia="vi-VN"/>
              </w:rPr>
              <w:t>Chi Hội đồng: xét tài trợ, đặt hàng nhiệm vụ khoa học, công nghệ và đổi mới sáng tạo; xét duyệt nhiệm vụ đổi mới sáng tạo; xác định danh mục nhiệm vụ đổi mới sáng tạo đặt hàng; xét duyệt hồ sơ đề nghị hỗ trợ lãi suất vay; xác định danh mục các chương trình hỗ trợ tài chính, phân bổ kinh phí đối với từng chương trình hỗ trợ tài chính; tư vấn thẩm định hồ sơ yêu cầu công nhận trung tâm nghiên cứu và phát triển</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t>a</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Hội đồng</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1.200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1.800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800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1.500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240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240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Đại biểu được mời tham dự</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160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200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b</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01 phiếu nhận xét đánh giá</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(ủy viên)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400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shd w:val="clear" w:color="auto" w:fill="FFFFFF"/>
                <w:lang w:eastAsia="vi-VN"/>
              </w:rPr>
            </w:pPr>
            <w:r w:rsidRPr="00533634">
              <w:rPr>
                <w:rStyle w:val="Other"/>
                <w:rFonts w:cs="Times New Roman"/>
                <w:sz w:val="28"/>
                <w:szCs w:val="28"/>
                <w:lang w:eastAsia="vi-VN"/>
              </w:rPr>
              <w:t>Nhận xét đánh giá của Chủ tịch Hội đồng, chuyên gia phản biện</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560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c</w:t>
            </w: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thù lao xây dựng yêu cầu đặt hàng đối với các nhiệm vụ đề xuất thực hiện</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Nhiệm vụ</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560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400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500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2</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b/>
                <w:bCs/>
                <w:sz w:val="28"/>
                <w:szCs w:val="28"/>
                <w:lang w:eastAsia="vi-VN"/>
              </w:rPr>
              <w:t>Chi Hội đồng tư vấn điều chỉnh hợp đồng giao nhiệm vụ khoa học, công nghệ và đổi mới sáng tạo; chấm dứt hợp đồng trong quá trình thực hiện nhiệm vụ đổi mới sáng tạo</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t>a</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Fonts w:cs="Times New Roman"/>
                <w:sz w:val="28"/>
                <w:szCs w:val="28"/>
              </w:rPr>
              <w:t>Hội đồng</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1.500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Đại biểu được mời tham dự</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200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b</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01 phiếu nhận xét</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500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Chủ tịch Hội đồng, chuyên gia phản biện</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r w:rsidRPr="00533634">
              <w:rPr>
                <w:b/>
                <w:bCs/>
                <w:szCs w:val="28"/>
              </w:rPr>
              <w:t>3</w:t>
            </w: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57" w:right="63"/>
              <w:jc w:val="both"/>
              <w:rPr>
                <w:szCs w:val="28"/>
              </w:rPr>
            </w:pPr>
            <w:r w:rsidRPr="00533634">
              <w:rPr>
                <w:b/>
                <w:bCs/>
                <w:szCs w:val="28"/>
              </w:rPr>
              <w:t>Chi Hội đồng tư vấn đánh giá khả năng ứng dụng kết quả nhiệm vụ khoa học, công nghệ và đổi mới sáng tạo</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t>a</w:t>
            </w: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Fonts w:cs="Times New Roman"/>
                <w:sz w:val="28"/>
                <w:szCs w:val="28"/>
              </w:rPr>
              <w:t xml:space="preserve">01 Nhiệm vụ có 01 hoặc nhiều đơn vị có nhu </w:t>
            </w:r>
            <w:r w:rsidRPr="00533634">
              <w:rPr>
                <w:rFonts w:cs="Times New Roman"/>
                <w:sz w:val="28"/>
                <w:szCs w:val="28"/>
              </w:rPr>
              <w:lastRenderedPageBreak/>
              <w:t>cầu ứng dụng kết quả</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lastRenderedPageBreak/>
              <w:t>Không quy định</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1.800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1.500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Đại biểu được mời tham dự</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200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b</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01 phiếu nhận xét đánh giá</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Không quy định</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Chủ tịch Hội đồng, chuyên gia phản biện</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4</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b/>
                <w:bCs/>
                <w:sz w:val="28"/>
                <w:szCs w:val="28"/>
                <w:lang w:eastAsia="vi-VN"/>
              </w:rPr>
              <w:t>Chi Hội đồng tư vấn đánh giá tổ chức khoa học và công nghệ công lập, chương trình, chính sách, chiến lược</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tabs>
                <w:tab w:val="left" w:pos="1506"/>
              </w:tabs>
              <w:ind w:left="88"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tabs>
                <w:tab w:val="left" w:pos="1506"/>
              </w:tabs>
              <w:ind w:left="88" w:right="145"/>
              <w:jc w:val="center"/>
              <w:rPr>
                <w:szCs w:val="28"/>
              </w:rPr>
            </w:pPr>
          </w:p>
        </w:tc>
        <w:tc>
          <w:tcPr>
            <w:tcW w:w="607"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tabs>
                <w:tab w:val="left" w:pos="1506"/>
              </w:tabs>
              <w:ind w:left="88"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lastRenderedPageBreak/>
              <w:t>a</w:t>
            </w: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Hội đồng</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tabs>
                <w:tab w:val="left" w:pos="1506"/>
              </w:tabs>
              <w:ind w:left="88" w:right="145"/>
              <w:jc w:val="center"/>
              <w:rPr>
                <w:szCs w:val="28"/>
              </w:rPr>
            </w:pPr>
            <w:r w:rsidRPr="00533634">
              <w:rPr>
                <w:szCs w:val="28"/>
              </w:rPr>
              <w:t>Không quy định</w:t>
            </w:r>
          </w:p>
        </w:tc>
        <w:tc>
          <w:tcPr>
            <w:tcW w:w="75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tabs>
                <w:tab w:val="left" w:pos="1506"/>
              </w:tabs>
              <w:ind w:left="88" w:right="145"/>
              <w:jc w:val="center"/>
              <w:rPr>
                <w:szCs w:val="28"/>
              </w:rPr>
            </w:pPr>
            <w:r w:rsidRPr="00533634">
              <w:rPr>
                <w:szCs w:val="28"/>
              </w:rPr>
              <w:t>Theo công lao động thực tế và mức chi  lương của chuyên gia tư vấn quy định tại Thông tư số 04/2025/TT-BNV ngày 07 tháng 5 năm 2025 của Bộ  trưởng Bộ Nội vụ quy định mức lương của chuyên gia tư vấn trong nước làm cơ sở cho việc xác định giá gói thầu</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tabs>
                <w:tab w:val="left" w:pos="1506"/>
              </w:tabs>
              <w:ind w:left="88"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r w:rsidRPr="00533634">
              <w:rPr>
                <w:szCs w:val="28"/>
              </w:rPr>
              <w:t>Công</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r w:rsidRPr="00533634">
              <w:rPr>
                <w:szCs w:val="28"/>
              </w:rPr>
              <w:t>Công</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r w:rsidRPr="00533634">
              <w:rPr>
                <w:szCs w:val="28"/>
              </w:rPr>
              <w:t>Công</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r w:rsidRPr="00533634">
              <w:rPr>
                <w:szCs w:val="28"/>
              </w:rPr>
              <w:t>Công</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758"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b</w:t>
            </w: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01 phiếu nhận xét đánh giá</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Không quy định</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Hội đồng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b/>
                <w:bCs/>
                <w:sz w:val="28"/>
                <w:szCs w:val="28"/>
                <w:lang w:eastAsia="vi-VN"/>
              </w:rPr>
              <w:t>5</w:t>
            </w: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b/>
                <w:bCs/>
                <w:szCs w:val="28"/>
              </w:rPr>
            </w:pPr>
            <w:r w:rsidRPr="00533634">
              <w:rPr>
                <w:b/>
                <w:bCs/>
                <w:szCs w:val="28"/>
              </w:rPr>
              <w:t>Chi thù lao chuyên gia tư vấn độc lập; chuyên gia tư vấn độc lập phục vụ Hội đồng; chuyên gia tư vấn độc lập tham gia Tổ chuyên gia</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r w:rsidRPr="00533634">
              <w:rPr>
                <w:szCs w:val="28"/>
              </w:rPr>
              <w:t>Chuyên gia</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Bằng 5 lần mức chi thù lao của Hội đồng tương ứng (gồm tiền họp Hội đồng của Chủ tịch Hội đồng và chi nhận xét đánh giá của ủy viên phản</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1.500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B</w:t>
            </w:r>
          </w:p>
        </w:tc>
        <w:tc>
          <w:tcPr>
            <w:tcW w:w="480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shd w:val="clear" w:color="auto" w:fill="FFFFFF"/>
              <w:spacing w:before="120" w:after="120"/>
              <w:jc w:val="both"/>
              <w:rPr>
                <w:b/>
                <w:szCs w:val="28"/>
              </w:rPr>
            </w:pPr>
            <w:r w:rsidRPr="00533634">
              <w:rPr>
                <w:b/>
                <w:szCs w:val="28"/>
              </w:rPr>
              <w:t>Mức chi tiền thù lao của tổ thẩm định kinh phí thực hiện nhiệm vụ khoa học, công nghệ và đổi mới sáng tạo</w:t>
            </w:r>
          </w:p>
          <w:p w:rsidR="00533634" w:rsidRPr="00533634" w:rsidRDefault="00533634" w:rsidP="00E62EDD">
            <w:pPr>
              <w:ind w:left="36" w:right="145"/>
              <w:jc w:val="both"/>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single" w:sz="4" w:space="0" w:color="auto"/>
            </w:tcBorders>
            <w:vAlign w:val="center"/>
          </w:tcPr>
          <w:p w:rsidR="00533634" w:rsidRPr="00533634" w:rsidRDefault="00533634" w:rsidP="00E62EDD">
            <w:pPr>
              <w:spacing w:before="120" w:after="120" w:line="360" w:lineRule="exact"/>
              <w:jc w:val="both"/>
              <w:rPr>
                <w:szCs w:val="28"/>
              </w:rPr>
            </w:pPr>
            <w:r w:rsidRPr="00533634">
              <w:rPr>
                <w:szCs w:val="28"/>
              </w:rPr>
              <w:t>Tổ trưởng tổ thẩm định</w:t>
            </w:r>
          </w:p>
        </w:tc>
        <w:tc>
          <w:tcPr>
            <w:tcW w:w="354" w:type="pct"/>
            <w:tcBorders>
              <w:top w:val="single" w:sz="4" w:space="0" w:color="auto"/>
              <w:left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Nhiệm vụ</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800</w:t>
            </w:r>
          </w:p>
        </w:tc>
        <w:tc>
          <w:tcPr>
            <w:tcW w:w="758" w:type="pct"/>
            <w:tcBorders>
              <w:top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1.000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single" w:sz="4" w:space="0" w:color="auto"/>
            </w:tcBorders>
            <w:vAlign w:val="center"/>
          </w:tcPr>
          <w:p w:rsidR="00533634" w:rsidRPr="00533634" w:rsidRDefault="00533634" w:rsidP="00E62EDD">
            <w:pPr>
              <w:spacing w:before="120" w:after="120" w:line="360" w:lineRule="exact"/>
              <w:jc w:val="both"/>
              <w:rPr>
                <w:szCs w:val="28"/>
              </w:rPr>
            </w:pPr>
            <w:r w:rsidRPr="00533634">
              <w:rPr>
                <w:szCs w:val="28"/>
              </w:rPr>
              <w:t>Thành viên tổ thẩm định</w:t>
            </w:r>
          </w:p>
        </w:tc>
        <w:tc>
          <w:tcPr>
            <w:tcW w:w="354" w:type="pct"/>
            <w:tcBorders>
              <w:top w:val="single" w:sz="4" w:space="0" w:color="auto"/>
              <w:left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Nhiệm vụ</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560</w:t>
            </w:r>
          </w:p>
        </w:tc>
        <w:tc>
          <w:tcPr>
            <w:tcW w:w="758" w:type="pct"/>
            <w:tcBorders>
              <w:top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single" w:sz="4" w:space="0" w:color="auto"/>
            </w:tcBorders>
            <w:vAlign w:val="center"/>
          </w:tcPr>
          <w:p w:rsidR="00533634" w:rsidRPr="00533634" w:rsidRDefault="00533634" w:rsidP="00E62EDD">
            <w:pPr>
              <w:spacing w:before="120" w:after="120" w:line="360" w:lineRule="exact"/>
              <w:jc w:val="both"/>
              <w:rPr>
                <w:szCs w:val="28"/>
              </w:rPr>
            </w:pPr>
            <w:r w:rsidRPr="00533634">
              <w:rPr>
                <w:szCs w:val="28"/>
              </w:rPr>
              <w:t>Thư ký hành chính</w:t>
            </w:r>
          </w:p>
        </w:tc>
        <w:tc>
          <w:tcPr>
            <w:tcW w:w="354" w:type="pct"/>
            <w:tcBorders>
              <w:top w:val="single" w:sz="4" w:space="0" w:color="auto"/>
              <w:left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Nhiệm vụ</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240</w:t>
            </w:r>
          </w:p>
        </w:tc>
        <w:tc>
          <w:tcPr>
            <w:tcW w:w="758" w:type="pct"/>
            <w:tcBorders>
              <w:top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single" w:sz="4" w:space="0" w:color="auto"/>
            </w:tcBorders>
            <w:vAlign w:val="center"/>
          </w:tcPr>
          <w:p w:rsidR="00533634" w:rsidRPr="00533634" w:rsidRDefault="00533634" w:rsidP="00E62EDD">
            <w:pPr>
              <w:spacing w:before="120" w:after="120" w:line="360" w:lineRule="exact"/>
              <w:jc w:val="both"/>
              <w:rPr>
                <w:szCs w:val="28"/>
              </w:rPr>
            </w:pPr>
            <w:r w:rsidRPr="00533634">
              <w:rPr>
                <w:szCs w:val="28"/>
              </w:rPr>
              <w:t>Đại biểu được mời tham dự</w:t>
            </w:r>
          </w:p>
        </w:tc>
        <w:tc>
          <w:tcPr>
            <w:tcW w:w="354" w:type="pct"/>
            <w:tcBorders>
              <w:top w:val="single" w:sz="4" w:space="0" w:color="auto"/>
              <w:left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Nhiệm vụ</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160</w:t>
            </w:r>
          </w:p>
        </w:tc>
        <w:tc>
          <w:tcPr>
            <w:tcW w:w="758" w:type="pct"/>
            <w:tcBorders>
              <w:top w:val="single" w:sz="4" w:space="0" w:color="auto"/>
              <w:bottom w:val="single" w:sz="4" w:space="0" w:color="auto"/>
            </w:tcBorders>
            <w:vAlign w:val="center"/>
          </w:tcPr>
          <w:p w:rsidR="00533634" w:rsidRPr="00533634" w:rsidRDefault="00533634" w:rsidP="00E62EDD">
            <w:pPr>
              <w:spacing w:before="120" w:after="120" w:line="360" w:lineRule="exact"/>
              <w:jc w:val="center"/>
              <w:rPr>
                <w:szCs w:val="28"/>
              </w:rPr>
            </w:pPr>
            <w:r w:rsidRPr="00533634">
              <w:rPr>
                <w:szCs w:val="28"/>
              </w:rPr>
              <w:t>200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D</w:t>
            </w:r>
          </w:p>
        </w:tc>
        <w:tc>
          <w:tcPr>
            <w:tcW w:w="480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both"/>
              <w:rPr>
                <w:szCs w:val="28"/>
              </w:rPr>
            </w:pPr>
            <w:r w:rsidRPr="00533634">
              <w:rPr>
                <w:b/>
                <w:spacing w:val="-4"/>
                <w:szCs w:val="28"/>
              </w:rPr>
              <w:t>Mức c</w:t>
            </w:r>
            <w:r w:rsidRPr="00533634">
              <w:rPr>
                <w:b/>
                <w:szCs w:val="28"/>
              </w:rPr>
              <w:t>hi công tác kiểm tra đánh giá trong kỳ và đánh giá cuối kỳ, đánh giá hiệu quả đầu ra của nhiệm vụ khoa học, công nghệ và đổi mới sáng tạo; đánh giá tác động của kết quả thực hiện nhiệm vụ phát triển công nghệ, đổi mới sáng tạo; kiểm tra, đánh giá sau khi giao quyền sở hữu, quyền sử dụng kết quả nhiệm vụ khoa học, công nghệ và đổi mới sáng tạo</w:t>
            </w: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right="63"/>
              <w:jc w:val="both"/>
              <w:rPr>
                <w:b/>
                <w:spacing w:val="-4"/>
                <w:szCs w:val="28"/>
              </w:rPr>
            </w:pPr>
            <w:r w:rsidRPr="00533634">
              <w:rPr>
                <w:b/>
                <w:spacing w:val="-4"/>
                <w:szCs w:val="28"/>
              </w:rPr>
              <w:t>Đánh giá trong kỳ</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t>a</w:t>
            </w: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Hội đồng</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p>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Fonts w:cs="Times New Roman"/>
                <w:sz w:val="28"/>
                <w:szCs w:val="28"/>
              </w:rPr>
              <w:t>Được áp dụng bằng 50% mức chi của Hội đồng tư vấn đánh giá nghiệm thu</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1.800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top w:val="single" w:sz="4" w:space="0" w:color="auto"/>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1.500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Đại biểu được mời tham dự</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200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b</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 xml:space="preserve">01 phiếu nhận xét đánh </w:t>
            </w:r>
            <w:r w:rsidRPr="00533634">
              <w:rPr>
                <w:rStyle w:val="Other"/>
                <w:rFonts w:cs="Times New Roman"/>
                <w:sz w:val="28"/>
                <w:szCs w:val="28"/>
                <w:lang w:eastAsia="vi-VN"/>
              </w:rPr>
              <w:lastRenderedPageBreak/>
              <w:t>giá</w:t>
            </w: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(ủy viên)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shd w:val="clear" w:color="auto" w:fill="FFFFFF"/>
                <w:lang w:eastAsia="vi-VN"/>
              </w:rPr>
            </w:pPr>
            <w:r w:rsidRPr="00533634">
              <w:rPr>
                <w:rStyle w:val="Other"/>
                <w:rFonts w:cs="Times New Roman"/>
                <w:sz w:val="28"/>
                <w:szCs w:val="28"/>
                <w:lang w:eastAsia="vi-VN"/>
              </w:rPr>
              <w:t>Nhận xét đánh giá của Chủ tịch Hội đồng, chuyên gia phản biện</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c</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thù lao xây dựng yêu cầu đặt hàng đối với các nhiệm vụ đề xuất thực hiện</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Nhiệm vụ</w:t>
            </w: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vMerge/>
            <w:tcBorders>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500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b/>
                <w:spacing w:val="-4"/>
                <w:szCs w:val="28"/>
              </w:rPr>
            </w:pPr>
            <w:r w:rsidRPr="00533634">
              <w:rPr>
                <w:b/>
                <w:spacing w:val="-4"/>
                <w:szCs w:val="28"/>
              </w:rPr>
              <w:t>Đánh giá cuối kỳ</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t>a</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Hội đồng</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1.440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1.800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1.200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1.500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240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240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Đại biểu được mời tham dự</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160</w:t>
            </w: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200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lastRenderedPageBreak/>
              <w:t>b</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01 phiếu nhận xét đánh giá</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758"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(ủy viên) Hội đồng</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560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shd w:val="clear" w:color="auto" w:fill="FFFFFF"/>
                <w:lang w:eastAsia="vi-VN"/>
              </w:rPr>
            </w:pPr>
            <w:r w:rsidRPr="00533634">
              <w:rPr>
                <w:rStyle w:val="Other"/>
                <w:rFonts w:cs="Times New Roman"/>
                <w:sz w:val="28"/>
                <w:szCs w:val="28"/>
                <w:lang w:eastAsia="vi-VN"/>
              </w:rPr>
              <w:t>Nhận xét đánh giá của Chủ tịch Hội đồng, chuyên gia phản biện</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r w:rsidRPr="00533634">
              <w:rPr>
                <w:rStyle w:val="Other"/>
                <w:rFonts w:cs="Times New Roman"/>
                <w:sz w:val="28"/>
                <w:szCs w:val="28"/>
                <w:lang w:eastAsia="vi-VN"/>
              </w:rPr>
              <w:t>800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E</w:t>
            </w:r>
          </w:p>
        </w:tc>
        <w:tc>
          <w:tcPr>
            <w:tcW w:w="480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both"/>
              <w:rPr>
                <w:szCs w:val="28"/>
              </w:rPr>
            </w:pPr>
            <w:r w:rsidRPr="00533634">
              <w:rPr>
                <w:b/>
                <w:szCs w:val="28"/>
              </w:rPr>
              <w:t>Mức chi hội nghị, hội thảo khoa học phục vụ công tác quản lý nhiệm vụ, chương trình khoa học và công nghệ</w:t>
            </w: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spacing w:val="-4"/>
                <w:szCs w:val="28"/>
              </w:rPr>
            </w:pPr>
            <w:r w:rsidRPr="00533634">
              <w:rPr>
                <w:spacing w:val="-4"/>
                <w:szCs w:val="28"/>
              </w:rPr>
              <w:t>Chủ trì</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1.600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1.600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spacing w:val="-4"/>
                <w:szCs w:val="28"/>
              </w:rPr>
            </w:pPr>
            <w:r w:rsidRPr="00533634">
              <w:rPr>
                <w:spacing w:val="-4"/>
                <w:szCs w:val="28"/>
              </w:rPr>
              <w:t>Thư ký khoa học</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400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560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spacing w:val="-4"/>
                <w:szCs w:val="28"/>
              </w:rPr>
            </w:pPr>
            <w:r w:rsidRPr="00533634">
              <w:rPr>
                <w:spacing w:val="-4"/>
                <w:szCs w:val="28"/>
              </w:rPr>
              <w:t>Báo cáo viên trình bày tại Hội thảo</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2.400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3.200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spacing w:val="-4"/>
                <w:szCs w:val="28"/>
              </w:rPr>
            </w:pPr>
            <w:r w:rsidRPr="00533634">
              <w:rPr>
                <w:spacing w:val="-4"/>
                <w:szCs w:val="28"/>
              </w:rPr>
              <w:t>Báo cáo KH (được cơ quan tổ chức đề nghị viết nhưng không trình bày tại Hội thảo)</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1.200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2.400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jc w:val="both"/>
              <w:rPr>
                <w:spacing w:val="-4"/>
                <w:szCs w:val="28"/>
              </w:rPr>
            </w:pPr>
            <w:r w:rsidRPr="00533634">
              <w:rPr>
                <w:spacing w:val="-4"/>
                <w:szCs w:val="28"/>
              </w:rPr>
              <w:t>Đại biểu</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240</w:t>
            </w:r>
          </w:p>
        </w:tc>
        <w:tc>
          <w:tcPr>
            <w:tcW w:w="758"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240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674D2D">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G</w:t>
            </w:r>
          </w:p>
        </w:tc>
        <w:tc>
          <w:tcPr>
            <w:tcW w:w="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CC1F2A">
            <w:pPr>
              <w:ind w:left="36" w:right="145"/>
              <w:jc w:val="both"/>
              <w:rPr>
                <w:szCs w:val="28"/>
              </w:rPr>
            </w:pPr>
            <w:r w:rsidRPr="00533634">
              <w:rPr>
                <w:b/>
                <w:szCs w:val="28"/>
              </w:rPr>
              <w:t xml:space="preserve">Mức chi thù lao Ban Chủ nhiệm chương trình khoa học, công nghệ và đổi mới sáng tạo của </w:t>
            </w:r>
            <w:r>
              <w:rPr>
                <w:b/>
                <w:szCs w:val="28"/>
              </w:rPr>
              <w:t>UBND</w:t>
            </w:r>
            <w:r w:rsidRPr="00533634">
              <w:rPr>
                <w:b/>
                <w:szCs w:val="28"/>
              </w:rPr>
              <w:t xml:space="preserve"> tỉnh</w:t>
            </w: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rPr>
              <w:t>a</w:t>
            </w: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họp Hội đồng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Fonts w:cs="Times New Roman"/>
                <w:sz w:val="28"/>
                <w:szCs w:val="28"/>
              </w:rPr>
              <w:t xml:space="preserve">01 Nhiệm </w:t>
            </w:r>
            <w:r w:rsidRPr="00533634">
              <w:rPr>
                <w:rFonts w:cs="Times New Roman"/>
                <w:sz w:val="28"/>
                <w:szCs w:val="28"/>
              </w:rPr>
              <w:lastRenderedPageBreak/>
              <w:t>vụ có 01 hoặc nhiều đơn vị có nhu cầu ứng dụng kết quả</w:t>
            </w: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lastRenderedPageBreak/>
              <w:t>Không quy định</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Chủ tịch Hội đồng</w:t>
            </w:r>
          </w:p>
        </w:tc>
        <w:tc>
          <w:tcPr>
            <w:tcW w:w="354"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1.800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Phó chủ tịch hội đồng;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1.500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khoa học</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Thư ký hành chính</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300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Đại biểu được mời tham dự</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200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Fonts w:cs="Times New Roman"/>
                <w:sz w:val="28"/>
                <w:szCs w:val="28"/>
              </w:rPr>
            </w:pPr>
            <w:r w:rsidRPr="00533634">
              <w:rPr>
                <w:rStyle w:val="Other"/>
                <w:rFonts w:cs="Times New Roman"/>
                <w:sz w:val="28"/>
                <w:szCs w:val="28"/>
                <w:lang w:eastAsia="vi-VN"/>
              </w:rPr>
              <w:t>b</w:t>
            </w: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Chi nhận xét đánh giá</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65" w:right="92" w:firstLine="0"/>
              <w:jc w:val="center"/>
              <w:rPr>
                <w:rFonts w:cs="Times New Roman"/>
                <w:sz w:val="28"/>
                <w:szCs w:val="28"/>
              </w:rPr>
            </w:pPr>
            <w:r w:rsidRPr="00533634">
              <w:rPr>
                <w:rStyle w:val="Other"/>
                <w:rFonts w:cs="Times New Roman"/>
                <w:sz w:val="28"/>
                <w:szCs w:val="28"/>
                <w:lang w:eastAsia="vi-VN"/>
              </w:rPr>
              <w:t>01 phiếu nhận xét đánh giá</w:t>
            </w: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r w:rsidRPr="00533634">
              <w:rPr>
                <w:szCs w:val="28"/>
              </w:rPr>
              <w:t>Không quy định</w:t>
            </w: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thành viên Hội đồng</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700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jc w:val="center"/>
              <w:rPr>
                <w:szCs w:val="28"/>
              </w:rPr>
            </w:pPr>
          </w:p>
        </w:tc>
        <w:tc>
          <w:tcPr>
            <w:tcW w:w="2425"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pStyle w:val="Other0"/>
              <w:shd w:val="clear" w:color="auto" w:fill="auto"/>
              <w:spacing w:after="0" w:line="240" w:lineRule="auto"/>
              <w:ind w:left="57" w:right="63" w:firstLine="0"/>
              <w:jc w:val="both"/>
              <w:rPr>
                <w:rFonts w:cs="Times New Roman"/>
                <w:sz w:val="28"/>
                <w:szCs w:val="28"/>
              </w:rPr>
            </w:pPr>
            <w:r w:rsidRPr="00533634">
              <w:rPr>
                <w:rStyle w:val="Other"/>
                <w:rFonts w:cs="Times New Roman"/>
                <w:sz w:val="28"/>
                <w:szCs w:val="28"/>
                <w:lang w:eastAsia="vi-VN"/>
              </w:rPr>
              <w:t>Nhận xét đánh giá của Chủ tịch Hội đồng, chuyên gia phản biện</w:t>
            </w:r>
          </w:p>
        </w:tc>
        <w:tc>
          <w:tcPr>
            <w:tcW w:w="354" w:type="pct"/>
            <w:tcBorders>
              <w:top w:val="single" w:sz="4" w:space="0" w:color="auto"/>
              <w:left w:val="single" w:sz="4" w:space="0" w:color="auto"/>
              <w:bottom w:val="nil"/>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Style w:val="Other"/>
                <w:rFonts w:cs="Times New Roman"/>
                <w:sz w:val="28"/>
                <w:szCs w:val="28"/>
                <w:lang w:eastAsia="vi-VN"/>
              </w:rPr>
            </w:pPr>
          </w:p>
        </w:tc>
        <w:tc>
          <w:tcPr>
            <w:tcW w:w="759" w:type="pct"/>
            <w:tcBorders>
              <w:top w:val="single" w:sz="4" w:space="0" w:color="auto"/>
              <w:left w:val="single" w:sz="4" w:space="0" w:color="auto"/>
              <w:bottom w:val="nil"/>
              <w:right w:val="single" w:sz="4" w:space="0" w:color="auto"/>
            </w:tcBorders>
            <w:shd w:val="clear" w:color="auto" w:fill="FFFFFF"/>
            <w:vAlign w:val="center"/>
          </w:tcPr>
          <w:p w:rsidR="00533634" w:rsidRPr="00533634" w:rsidRDefault="00533634" w:rsidP="00E62EDD">
            <w:pPr>
              <w:pStyle w:val="Other0"/>
              <w:shd w:val="clear" w:color="auto" w:fill="auto"/>
              <w:spacing w:after="0" w:line="240" w:lineRule="auto"/>
              <w:ind w:left="36" w:right="145" w:firstLine="0"/>
              <w:jc w:val="center"/>
              <w:rPr>
                <w:rFonts w:cs="Times New Roman"/>
                <w:sz w:val="28"/>
                <w:szCs w:val="28"/>
              </w:rPr>
            </w:pPr>
            <w:r w:rsidRPr="00533634">
              <w:rPr>
                <w:rStyle w:val="Other"/>
                <w:rFonts w:cs="Times New Roman"/>
                <w:sz w:val="28"/>
                <w:szCs w:val="28"/>
                <w:lang w:eastAsia="vi-VN"/>
              </w:rPr>
              <w:t>1.000</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CC1F2A" w:rsidRPr="00533634" w:rsidTr="00B9724E">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CC1F2A" w:rsidRPr="00533634" w:rsidRDefault="00CC1F2A" w:rsidP="00E62EDD">
            <w:pPr>
              <w:pStyle w:val="Other0"/>
              <w:shd w:val="clear" w:color="auto" w:fill="auto"/>
              <w:spacing w:after="0" w:line="240" w:lineRule="auto"/>
              <w:ind w:firstLine="0"/>
              <w:jc w:val="center"/>
              <w:rPr>
                <w:rStyle w:val="Other"/>
                <w:rFonts w:cs="Times New Roman"/>
                <w:b/>
                <w:bCs/>
                <w:sz w:val="28"/>
                <w:szCs w:val="28"/>
                <w:lang w:eastAsia="vi-VN"/>
              </w:rPr>
            </w:pPr>
            <w:r w:rsidRPr="00533634">
              <w:rPr>
                <w:rStyle w:val="Other"/>
                <w:rFonts w:cs="Times New Roman"/>
                <w:b/>
                <w:bCs/>
                <w:sz w:val="28"/>
                <w:szCs w:val="28"/>
                <w:lang w:eastAsia="vi-VN"/>
              </w:rPr>
              <w:t>F</w:t>
            </w:r>
          </w:p>
        </w:tc>
        <w:tc>
          <w:tcPr>
            <w:tcW w:w="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CC1F2A" w:rsidRPr="00533634" w:rsidRDefault="00CC1F2A" w:rsidP="00CC1F2A">
            <w:pPr>
              <w:ind w:left="36" w:right="145"/>
              <w:jc w:val="both"/>
              <w:rPr>
                <w:szCs w:val="28"/>
              </w:rPr>
            </w:pPr>
            <w:r w:rsidRPr="00533634">
              <w:rPr>
                <w:b/>
                <w:spacing w:val="-4"/>
                <w:szCs w:val="28"/>
              </w:rPr>
              <w:t xml:space="preserve">Mức chi tổ chức xây dựng chiến lược, kế hoạch tổng thể về khoa học, công nghệ và đổi mới sáng tạo 05 năm, kế hoạch về khoa học, công nghệ và đổi mới sáng tạo 05 năm của </w:t>
            </w:r>
            <w:r>
              <w:rPr>
                <w:b/>
                <w:spacing w:val="-4"/>
                <w:szCs w:val="28"/>
              </w:rPr>
              <w:t>UBND</w:t>
            </w:r>
            <w:r w:rsidRPr="00533634">
              <w:rPr>
                <w:b/>
                <w:spacing w:val="-4"/>
                <w:szCs w:val="28"/>
              </w:rPr>
              <w:t xml:space="preserve"> tỉnh</w:t>
            </w: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Cs/>
                <w:sz w:val="28"/>
                <w:szCs w:val="28"/>
                <w:lang w:eastAsia="vi-VN"/>
              </w:rPr>
            </w:pPr>
            <w:r w:rsidRPr="00533634">
              <w:rPr>
                <w:rStyle w:val="Other"/>
                <w:rFonts w:cs="Times New Roman"/>
                <w:bCs/>
                <w:sz w:val="28"/>
                <w:szCs w:val="28"/>
                <w:lang w:eastAsia="vi-VN"/>
              </w:rPr>
              <w:t>a</w:t>
            </w: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rPr>
                <w:b/>
                <w:spacing w:val="-4"/>
                <w:szCs w:val="28"/>
              </w:rPr>
            </w:pPr>
            <w:r w:rsidRPr="00533634">
              <w:rPr>
                <w:szCs w:val="28"/>
              </w:rPr>
              <w:t>Chi điều tra khảo sát, thu thập và phân tích thông tin</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4670F0" w:rsidP="00E62EDD">
            <w:pPr>
              <w:ind w:left="36" w:right="145"/>
              <w:jc w:val="center"/>
              <w:rPr>
                <w:szCs w:val="28"/>
              </w:rPr>
            </w:pPr>
            <w:r w:rsidRPr="00533634">
              <w:rPr>
                <w:szCs w:val="28"/>
              </w:rPr>
              <w:t>Không quy định</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4670F0">
            <w:pPr>
              <w:ind w:left="36" w:right="145"/>
              <w:jc w:val="both"/>
              <w:rPr>
                <w:szCs w:val="28"/>
              </w:rPr>
            </w:pPr>
            <w:r w:rsidRPr="00533634">
              <w:rPr>
                <w:spacing w:val="-4"/>
                <w:szCs w:val="28"/>
              </w:rPr>
              <w:t>Nghị quyết số 17/2018/NQ-HĐND ngày 10 tháng 12 năm 2018 của Hội đồng nhân dân tỉnh quy định nội dung và mức chi của các cuộc điều tra thống kê do ngân sách địa phương bảo đảm trên địa bàn tỉnh Lạng Sơn</w:t>
            </w: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r w:rsidR="00533634" w:rsidRPr="00533634" w:rsidTr="00533634">
        <w:trPr>
          <w:trHeight w:val="576"/>
        </w:trPr>
        <w:tc>
          <w:tcPr>
            <w:tcW w:w="199"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pStyle w:val="Other0"/>
              <w:shd w:val="clear" w:color="auto" w:fill="auto"/>
              <w:spacing w:after="0" w:line="240" w:lineRule="auto"/>
              <w:ind w:firstLine="0"/>
              <w:jc w:val="center"/>
              <w:rPr>
                <w:rStyle w:val="Other"/>
                <w:rFonts w:cs="Times New Roman"/>
                <w:bCs/>
                <w:sz w:val="28"/>
                <w:szCs w:val="28"/>
                <w:lang w:eastAsia="vi-VN"/>
              </w:rPr>
            </w:pPr>
            <w:r w:rsidRPr="00533634">
              <w:rPr>
                <w:rStyle w:val="Other"/>
                <w:rFonts w:cs="Times New Roman"/>
                <w:bCs/>
                <w:sz w:val="28"/>
                <w:szCs w:val="28"/>
                <w:lang w:eastAsia="vi-VN"/>
              </w:rPr>
              <w:t>b</w:t>
            </w:r>
          </w:p>
        </w:tc>
        <w:tc>
          <w:tcPr>
            <w:tcW w:w="2425"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57" w:right="63"/>
              <w:rPr>
                <w:b/>
                <w:spacing w:val="-4"/>
                <w:szCs w:val="28"/>
              </w:rPr>
            </w:pPr>
            <w:r w:rsidRPr="00533634">
              <w:rPr>
                <w:szCs w:val="28"/>
              </w:rPr>
              <w:t>Chi cho công tác tổ chức và phí tham gia hội nghị, hội thảo khoa học, diễn đàn, tọa đàm khoa học, công tác phí trong nước và ngoài nước; hợp tác quốc tế (đoàn ra, đoàn vào) phục vụ quá trình xây dựng chiến lược, kế hoạch thực hiện</w:t>
            </w:r>
          </w:p>
        </w:tc>
        <w:tc>
          <w:tcPr>
            <w:tcW w:w="354" w:type="pct"/>
            <w:tcBorders>
              <w:top w:val="single" w:sz="4" w:space="0" w:color="auto"/>
              <w:left w:val="single" w:sz="4" w:space="0" w:color="auto"/>
              <w:bottom w:val="single" w:sz="4" w:space="0" w:color="auto"/>
              <w:right w:val="nil"/>
            </w:tcBorders>
            <w:shd w:val="clear" w:color="auto" w:fill="FFFFFF"/>
            <w:vAlign w:val="center"/>
          </w:tcPr>
          <w:p w:rsidR="00533634" w:rsidRPr="00533634" w:rsidRDefault="00533634" w:rsidP="00E62EDD">
            <w:pPr>
              <w:ind w:left="65" w:right="92"/>
              <w:jc w:val="center"/>
              <w:rPr>
                <w:szCs w:val="28"/>
              </w:rPr>
            </w:pPr>
          </w:p>
        </w:tc>
        <w:tc>
          <w:tcPr>
            <w:tcW w:w="656"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4670F0" w:rsidP="00E62EDD">
            <w:pPr>
              <w:ind w:left="36" w:right="145"/>
              <w:jc w:val="center"/>
              <w:rPr>
                <w:szCs w:val="28"/>
              </w:rPr>
            </w:pPr>
            <w:r w:rsidRPr="00533634">
              <w:rPr>
                <w:szCs w:val="28"/>
              </w:rPr>
              <w:t>Không quy định</w:t>
            </w:r>
          </w:p>
        </w:tc>
        <w:tc>
          <w:tcPr>
            <w:tcW w:w="759"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shd w:val="clear" w:color="auto" w:fill="FFFFFF"/>
              <w:spacing w:before="120" w:after="120"/>
              <w:jc w:val="both"/>
              <w:rPr>
                <w:szCs w:val="28"/>
              </w:rPr>
            </w:pPr>
            <w:r w:rsidRPr="00533634">
              <w:rPr>
                <w:szCs w:val="28"/>
              </w:rPr>
              <w:t xml:space="preserve">Điều 7 Quy định này và Nghị quyết số </w:t>
            </w:r>
            <w:r w:rsidRPr="00533634">
              <w:rPr>
                <w:rStyle w:val="fontstyle01"/>
              </w:rPr>
              <w:t xml:space="preserve">18/2025/NQ-HĐND ngày 15 </w:t>
            </w:r>
            <w:r w:rsidRPr="00533634">
              <w:rPr>
                <w:rStyle w:val="fontstyle01"/>
              </w:rPr>
              <w:lastRenderedPageBreak/>
              <w:t>tháng 7 năm 2025 của Hội đồng nhân dân tỉnh quy định chế độ công tác phí, chế độ chi hội nghị trên địa bàn tỉnh Lạng Sơn.</w:t>
            </w:r>
          </w:p>
          <w:p w:rsidR="00533634" w:rsidRPr="00533634" w:rsidRDefault="00533634" w:rsidP="00E62EDD">
            <w:pPr>
              <w:ind w:left="36" w:right="145"/>
              <w:jc w:val="center"/>
              <w:rPr>
                <w:szCs w:val="28"/>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533634" w:rsidRPr="00533634" w:rsidRDefault="00533634" w:rsidP="00E62EDD">
            <w:pPr>
              <w:ind w:left="36" w:right="145"/>
              <w:jc w:val="center"/>
              <w:rPr>
                <w:szCs w:val="28"/>
              </w:rPr>
            </w:pPr>
          </w:p>
        </w:tc>
      </w:tr>
    </w:tbl>
    <w:p w:rsidR="00533634" w:rsidRPr="00FD3E74" w:rsidRDefault="00533634">
      <w:pPr>
        <w:rPr>
          <w:sz w:val="20"/>
          <w:szCs w:val="20"/>
        </w:rPr>
      </w:pPr>
    </w:p>
    <w:sectPr w:rsidR="00533634" w:rsidRPr="00FD3E74" w:rsidSect="00EF0DC7">
      <w:pgSz w:w="15840" w:h="12240" w:orient="landscape"/>
      <w:pgMar w:top="709" w:right="567"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358" w:rsidRDefault="00606358" w:rsidP="00A40970">
      <w:r>
        <w:separator/>
      </w:r>
    </w:p>
  </w:endnote>
  <w:endnote w:type="continuationSeparator" w:id="0">
    <w:p w:rsidR="00606358" w:rsidRDefault="00606358" w:rsidP="00A40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358" w:rsidRDefault="00606358" w:rsidP="00A40970">
      <w:r>
        <w:separator/>
      </w:r>
    </w:p>
  </w:footnote>
  <w:footnote w:type="continuationSeparator" w:id="0">
    <w:p w:rsidR="00606358" w:rsidRDefault="00606358" w:rsidP="00A40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74"/>
    <w:rsid w:val="00012B97"/>
    <w:rsid w:val="00095D38"/>
    <w:rsid w:val="000A2547"/>
    <w:rsid w:val="00183750"/>
    <w:rsid w:val="001F6534"/>
    <w:rsid w:val="00343193"/>
    <w:rsid w:val="00392924"/>
    <w:rsid w:val="00455545"/>
    <w:rsid w:val="004670F0"/>
    <w:rsid w:val="004B531C"/>
    <w:rsid w:val="004F57D1"/>
    <w:rsid w:val="00533634"/>
    <w:rsid w:val="005E61FF"/>
    <w:rsid w:val="005E7154"/>
    <w:rsid w:val="00606358"/>
    <w:rsid w:val="009977C4"/>
    <w:rsid w:val="009C0A3D"/>
    <w:rsid w:val="009C1B7A"/>
    <w:rsid w:val="00A03C27"/>
    <w:rsid w:val="00A06268"/>
    <w:rsid w:val="00A40970"/>
    <w:rsid w:val="00BA47AD"/>
    <w:rsid w:val="00C436D6"/>
    <w:rsid w:val="00CC1F2A"/>
    <w:rsid w:val="00D458D4"/>
    <w:rsid w:val="00EF0DC7"/>
    <w:rsid w:val="00F21A08"/>
    <w:rsid w:val="00F575C1"/>
    <w:rsid w:val="00F71EE4"/>
    <w:rsid w:val="00FD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D4C0"/>
  <w15:chartTrackingRefBased/>
  <w15:docId w15:val="{7248DACB-C235-46A8-B7EE-E6D8FC5C4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E7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link w:val="Other0"/>
    <w:uiPriority w:val="99"/>
    <w:rsid w:val="00FD3E74"/>
    <w:rPr>
      <w:sz w:val="26"/>
      <w:szCs w:val="26"/>
      <w:shd w:val="clear" w:color="auto" w:fill="FFFFFF"/>
    </w:rPr>
  </w:style>
  <w:style w:type="paragraph" w:customStyle="1" w:styleId="Other0">
    <w:name w:val="Other"/>
    <w:basedOn w:val="Normal"/>
    <w:link w:val="Other"/>
    <w:uiPriority w:val="99"/>
    <w:rsid w:val="00FD3E74"/>
    <w:pPr>
      <w:widowControl w:val="0"/>
      <w:shd w:val="clear" w:color="auto" w:fill="FFFFFF"/>
      <w:spacing w:after="40" w:line="259" w:lineRule="auto"/>
      <w:ind w:firstLine="400"/>
    </w:pPr>
    <w:rPr>
      <w:rFonts w:eastAsiaTheme="minorHAnsi" w:cstheme="minorBidi"/>
      <w:sz w:val="26"/>
      <w:szCs w:val="26"/>
    </w:rPr>
  </w:style>
  <w:style w:type="character" w:customStyle="1" w:styleId="fontstyle01">
    <w:name w:val="fontstyle01"/>
    <w:rsid w:val="004F57D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A40970"/>
    <w:pPr>
      <w:tabs>
        <w:tab w:val="center" w:pos="4680"/>
        <w:tab w:val="right" w:pos="9360"/>
      </w:tabs>
    </w:pPr>
  </w:style>
  <w:style w:type="character" w:customStyle="1" w:styleId="HeaderChar">
    <w:name w:val="Header Char"/>
    <w:basedOn w:val="DefaultParagraphFont"/>
    <w:link w:val="Header"/>
    <w:uiPriority w:val="99"/>
    <w:rsid w:val="00A40970"/>
    <w:rPr>
      <w:rFonts w:eastAsia="Times New Roman" w:cs="Times New Roman"/>
      <w:szCs w:val="24"/>
    </w:rPr>
  </w:style>
  <w:style w:type="paragraph" w:styleId="Footer">
    <w:name w:val="footer"/>
    <w:basedOn w:val="Normal"/>
    <w:link w:val="FooterChar"/>
    <w:uiPriority w:val="99"/>
    <w:unhideWhenUsed/>
    <w:rsid w:val="00A40970"/>
    <w:pPr>
      <w:tabs>
        <w:tab w:val="center" w:pos="4680"/>
        <w:tab w:val="right" w:pos="9360"/>
      </w:tabs>
    </w:pPr>
  </w:style>
  <w:style w:type="character" w:customStyle="1" w:styleId="FooterChar">
    <w:name w:val="Footer Char"/>
    <w:basedOn w:val="DefaultParagraphFont"/>
    <w:link w:val="Footer"/>
    <w:uiPriority w:val="99"/>
    <w:rsid w:val="00A40970"/>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64</cp:revision>
  <dcterms:created xsi:type="dcterms:W3CDTF">2026-05-04T03:05:00Z</dcterms:created>
  <dcterms:modified xsi:type="dcterms:W3CDTF">2026-05-16T10:56:00Z</dcterms:modified>
</cp:coreProperties>
</file>